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305" w:type="dxa"/>
        <w:tblLayout w:type="fixed"/>
        <w:tblLook w:val="04A0" w:firstRow="1" w:lastRow="0" w:firstColumn="1" w:lastColumn="0" w:noHBand="0" w:noVBand="1"/>
      </w:tblPr>
      <w:tblGrid>
        <w:gridCol w:w="540"/>
        <w:gridCol w:w="1575"/>
        <w:gridCol w:w="1440"/>
        <w:gridCol w:w="7465"/>
        <w:gridCol w:w="3285"/>
      </w:tblGrid>
      <w:tr w:rsidR="006905EA" w:rsidRPr="2597D5E7" w14:paraId="32B9C8DC" w14:textId="77777777" w:rsidTr="00FC4458">
        <w:trPr>
          <w:cantSplit/>
          <w:trHeight w:val="300"/>
        </w:trPr>
        <w:tc>
          <w:tcPr>
            <w:tcW w:w="540" w:type="dxa"/>
            <w:vMerge w:val="restart"/>
            <w:shd w:val="clear" w:color="auto" w:fill="FFFFCC"/>
            <w:textDirection w:val="btLr"/>
          </w:tcPr>
          <w:p w14:paraId="3728FCEB" w14:textId="77777777" w:rsidR="006905EA" w:rsidRPr="00FC4458" w:rsidRDefault="006905EA" w:rsidP="3D5872F7">
            <w:pPr>
              <w:ind w:left="113" w:right="113"/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  <w:t>Neonatal</w:t>
            </w:r>
          </w:p>
        </w:tc>
        <w:tc>
          <w:tcPr>
            <w:tcW w:w="13765" w:type="dxa"/>
            <w:gridSpan w:val="4"/>
          </w:tcPr>
          <w:p w14:paraId="3A7B996D" w14:textId="11FE7648" w:rsidR="006905EA" w:rsidRPr="00FC4458" w:rsidRDefault="006905EA" w:rsidP="00FC445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noProof/>
                <w:sz w:val="18"/>
                <w:szCs w:val="18"/>
              </w:rPr>
              <w:t xml:space="preserve"> *** </w:t>
            </w:r>
            <w:r w:rsidR="00AC7C5D" w:rsidRPr="00FC4458">
              <w:rPr>
                <w:rFonts w:asciiTheme="minorHAnsi" w:eastAsiaTheme="minorEastAsia" w:hAnsiTheme="minorHAnsi" w:cstheme="minorBidi"/>
                <w:noProof/>
                <w:sz w:val="18"/>
                <w:szCs w:val="18"/>
              </w:rPr>
              <w:t xml:space="preserve"> </w:t>
            </w:r>
            <w:r w:rsidR="3A2425DA" w:rsidRPr="00FC4458">
              <w:rPr>
                <w:rFonts w:asciiTheme="minorHAnsi" w:eastAsiaTheme="minorEastAsia" w:hAnsiTheme="minorHAnsi" w:cstheme="minorBidi"/>
                <w:noProof/>
                <w:sz w:val="18"/>
                <w:szCs w:val="18"/>
              </w:rPr>
              <w:t>Doses listed are based on patients with normal renal function, p</w:t>
            </w:r>
            <w:r w:rsidRPr="00FC4458">
              <w:rPr>
                <w:rFonts w:asciiTheme="minorHAnsi" w:eastAsiaTheme="minorEastAsia" w:hAnsiTheme="minorHAnsi" w:cstheme="minorBidi"/>
                <w:noProof/>
                <w:sz w:val="18"/>
                <w:szCs w:val="18"/>
              </w:rPr>
              <w:t xml:space="preserve">lease contact the </w:t>
            </w:r>
            <w:r w:rsidR="05FA716A" w:rsidRPr="00FC4458">
              <w:rPr>
                <w:rFonts w:asciiTheme="minorHAnsi" w:eastAsiaTheme="minorEastAsia" w:hAnsiTheme="minorHAnsi" w:cstheme="minorBidi"/>
                <w:noProof/>
                <w:sz w:val="18"/>
                <w:szCs w:val="18"/>
              </w:rPr>
              <w:t>clinical</w:t>
            </w:r>
            <w:r w:rsidRPr="00FC4458">
              <w:rPr>
                <w:rFonts w:asciiTheme="minorHAnsi" w:eastAsiaTheme="minorEastAsia" w:hAnsiTheme="minorHAnsi" w:cstheme="minorBidi"/>
                <w:noProof/>
                <w:sz w:val="18"/>
                <w:szCs w:val="18"/>
              </w:rPr>
              <w:t xml:space="preserve"> pharmacist for dosing </w:t>
            </w:r>
            <w:r w:rsidR="16B0F246" w:rsidRPr="00FC4458">
              <w:rPr>
                <w:rFonts w:asciiTheme="minorHAnsi" w:eastAsiaTheme="minorEastAsia" w:hAnsiTheme="minorHAnsi" w:cstheme="minorBidi"/>
                <w:noProof/>
                <w:sz w:val="18"/>
                <w:szCs w:val="18"/>
              </w:rPr>
              <w:t>in patients with renal dysfunction</w:t>
            </w:r>
            <w:r w:rsidR="3EDF9F00" w:rsidRPr="00FC4458">
              <w:rPr>
                <w:rFonts w:asciiTheme="minorHAnsi" w:eastAsiaTheme="minorEastAsia" w:hAnsiTheme="minorHAnsi" w:cstheme="minorBidi"/>
                <w:noProof/>
                <w:sz w:val="18"/>
                <w:szCs w:val="18"/>
              </w:rPr>
              <w:t xml:space="preserve"> </w:t>
            </w:r>
            <w:r w:rsidRPr="00FC4458">
              <w:rPr>
                <w:rFonts w:asciiTheme="minorHAnsi" w:eastAsiaTheme="minorEastAsia" w:hAnsiTheme="minorHAnsi" w:cstheme="minorBidi"/>
                <w:noProof/>
                <w:sz w:val="18"/>
                <w:szCs w:val="18"/>
              </w:rPr>
              <w:t xml:space="preserve">if </w:t>
            </w:r>
            <w:r w:rsidR="5928D633" w:rsidRPr="00FC4458">
              <w:rPr>
                <w:rFonts w:asciiTheme="minorHAnsi" w:eastAsiaTheme="minorEastAsia" w:hAnsiTheme="minorHAnsi" w:cstheme="minorBidi"/>
                <w:noProof/>
                <w:sz w:val="18"/>
                <w:szCs w:val="18"/>
              </w:rPr>
              <w:t>needed</w:t>
            </w:r>
            <w:r w:rsidRPr="00FC4458">
              <w:rPr>
                <w:rFonts w:asciiTheme="minorHAnsi" w:eastAsiaTheme="minorEastAsia" w:hAnsiTheme="minorHAnsi" w:cstheme="minorBidi"/>
                <w:noProof/>
                <w:sz w:val="18"/>
                <w:szCs w:val="18"/>
              </w:rPr>
              <w:t xml:space="preserve"> ***</w:t>
            </w:r>
          </w:p>
        </w:tc>
      </w:tr>
      <w:tr w:rsidR="6DE68072" w14:paraId="6B33909E" w14:textId="77777777" w:rsidTr="00FC4458">
        <w:trPr>
          <w:cantSplit/>
          <w:trHeight w:val="300"/>
        </w:trPr>
        <w:tc>
          <w:tcPr>
            <w:tcW w:w="540" w:type="dxa"/>
            <w:vMerge/>
            <w:textDirection w:val="btLr"/>
          </w:tcPr>
          <w:p w14:paraId="150D1734" w14:textId="77777777" w:rsidR="00F17AC7" w:rsidRDefault="00F17AC7"/>
        </w:tc>
        <w:tc>
          <w:tcPr>
            <w:tcW w:w="1575" w:type="dxa"/>
            <w:shd w:val="clear" w:color="auto" w:fill="D9E2F3" w:themeFill="accent1" w:themeFillTint="33"/>
          </w:tcPr>
          <w:p w14:paraId="5045EED8" w14:textId="0E40856B" w:rsidR="6DE68072" w:rsidRPr="00FC4458" w:rsidRDefault="6DE68072" w:rsidP="3D5872F7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D9E2F3" w:themeFill="accent1" w:themeFillTint="33"/>
            <w:vAlign w:val="center"/>
          </w:tcPr>
          <w:p w14:paraId="789B6363" w14:textId="686E0EB7" w:rsidR="21795364" w:rsidRPr="00FC4458" w:rsidRDefault="21795364" w:rsidP="3D5872F7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  <w:t>Common Pathogens</w:t>
            </w:r>
          </w:p>
        </w:tc>
        <w:tc>
          <w:tcPr>
            <w:tcW w:w="7465" w:type="dxa"/>
            <w:shd w:val="clear" w:color="auto" w:fill="D9E2F3" w:themeFill="accent1" w:themeFillTint="33"/>
          </w:tcPr>
          <w:p w14:paraId="09357AFF" w14:textId="61AEBC2C" w:rsidR="3D640CB3" w:rsidRPr="00FC4458" w:rsidRDefault="3D640CB3" w:rsidP="00FC4458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  <w:t>Recommended Therapy</w:t>
            </w:r>
          </w:p>
        </w:tc>
        <w:tc>
          <w:tcPr>
            <w:tcW w:w="3285" w:type="dxa"/>
            <w:shd w:val="clear" w:color="auto" w:fill="D9E2F3" w:themeFill="accent1" w:themeFillTint="33"/>
          </w:tcPr>
          <w:p w14:paraId="4CA93D2C" w14:textId="473C47B4" w:rsidR="3D640CB3" w:rsidRPr="00FC4458" w:rsidRDefault="3D640CB3" w:rsidP="00FC4458">
            <w:pPr>
              <w:pStyle w:val="NormalWeb"/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  <w:t>Notes (if applicable)</w:t>
            </w:r>
          </w:p>
        </w:tc>
      </w:tr>
      <w:tr w:rsidR="006905EA" w:rsidRPr="2597D5E7" w14:paraId="3238E062" w14:textId="77777777" w:rsidTr="3D5872F7">
        <w:trPr>
          <w:cantSplit/>
          <w:trHeight w:val="300"/>
        </w:trPr>
        <w:tc>
          <w:tcPr>
            <w:tcW w:w="540" w:type="dxa"/>
            <w:vMerge/>
            <w:textDirection w:val="btLr"/>
          </w:tcPr>
          <w:p w14:paraId="1C5B66BB" w14:textId="77777777" w:rsidR="006905EA" w:rsidRDefault="006905EA" w:rsidP="00CC15A7">
            <w:pPr>
              <w:ind w:left="113" w:right="113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  <w:tc>
          <w:tcPr>
            <w:tcW w:w="1575" w:type="dxa"/>
            <w:vMerge w:val="restart"/>
            <w:vAlign w:val="center"/>
          </w:tcPr>
          <w:p w14:paraId="7DFBBCD4" w14:textId="62D1BE4D" w:rsidR="006905EA" w:rsidRPr="00FC4458" w:rsidRDefault="006905EA" w:rsidP="3D5872F7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noProof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noProof/>
                <w:sz w:val="18"/>
                <w:szCs w:val="18"/>
              </w:rPr>
              <w:t>Neonatal</w:t>
            </w:r>
          </w:p>
          <w:p w14:paraId="659F2CD0" w14:textId="6F9338ED" w:rsidR="006905EA" w:rsidRPr="00FC4458" w:rsidRDefault="006905EA" w:rsidP="3D5872F7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noProof/>
                <w:sz w:val="18"/>
                <w:szCs w:val="18"/>
              </w:rPr>
              <w:t>Meningitis</w:t>
            </w:r>
          </w:p>
          <w:p w14:paraId="29D0EA30" w14:textId="15EFEDD7" w:rsidR="006905EA" w:rsidRPr="00FC4458" w:rsidRDefault="006905EA" w:rsidP="3D5872F7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11979C4E" w14:textId="7EFBEAE6" w:rsidR="006905EA" w:rsidRPr="00FC4458" w:rsidRDefault="006905EA" w:rsidP="3D5872F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  <w:u w:val="single"/>
              </w:rPr>
            </w:pPr>
            <w:proofErr w:type="gramStart"/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GBS ,</w:t>
            </w:r>
            <w:proofErr w:type="gramEnd"/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 E. coli , Listeria</w:t>
            </w:r>
            <w:r w:rsidR="5C5D807F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 (for &lt; 1 month of age)</w:t>
            </w:r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 , </w:t>
            </w:r>
            <w:r w:rsidR="02BF54AE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Klebsiella species</w:t>
            </w:r>
            <w:r w:rsidR="378C6E47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, </w:t>
            </w:r>
            <w:r w:rsidR="378C6E47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other healthcare</w:t>
            </w:r>
            <w:r w:rsidR="422E09FD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-</w:t>
            </w:r>
            <w:r w:rsidR="378C6E47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associated pathogens</w:t>
            </w:r>
            <w:r w:rsidR="378C6E47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465" w:type="dxa"/>
          </w:tcPr>
          <w:p w14:paraId="37ED334A" w14:textId="515EF0AB" w:rsidR="006905EA" w:rsidRPr="00FC4458" w:rsidRDefault="69EF882A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r w:rsidRPr="3D5872F7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>Early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 xml:space="preserve"> onset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: Ampicillin</w:t>
            </w:r>
            <w:r w:rsidR="64113EAB" w:rsidRPr="3D5872F7">
              <w:rPr>
                <w:rFonts w:asciiTheme="minorHAnsi" w:eastAsiaTheme="minorEastAsia" w:hAnsiTheme="minorHAnsi" w:cstheme="minorBidi"/>
                <w:sz w:val="18"/>
                <w:szCs w:val="18"/>
              </w:rPr>
              <w:t>*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(</w:t>
            </w:r>
            <w:r w:rsidR="14E28386" w:rsidRPr="3D5872F7">
              <w:rPr>
                <w:rFonts w:asciiTheme="minorHAnsi" w:eastAsiaTheme="minorEastAsia" w:hAnsiTheme="minorHAnsi" w:cstheme="minorBidi"/>
                <w:sz w:val="18"/>
                <w:szCs w:val="18"/>
              </w:rPr>
              <w:t>use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“Ampicillin intermittent infusion &lt;/=60 days” Order Panel</w:t>
            </w:r>
            <w:r w:rsidR="440B7C3B" w:rsidRPr="3D5872F7">
              <w:rPr>
                <w:rFonts w:asciiTheme="minorHAnsi" w:eastAsiaTheme="minorEastAsia" w:hAnsiTheme="minorHAnsi" w:cstheme="minorBidi"/>
                <w:sz w:val="18"/>
                <w:szCs w:val="18"/>
              </w:rPr>
              <w:t>)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+ Ceftazidime </w:t>
            </w:r>
            <w:r w:rsidRPr="00FC4458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50 mg/kg Q8 (Q12 if &lt;7 days of age)</w:t>
            </w:r>
          </w:p>
          <w:p w14:paraId="268FBDC1" w14:textId="598D3A34" w:rsidR="006905EA" w:rsidRPr="2597D5E7" w:rsidRDefault="006905EA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  <w:u w:val="single"/>
              </w:rPr>
            </w:pPr>
          </w:p>
          <w:p w14:paraId="07990F03" w14:textId="3815BCF7" w:rsidR="006905EA" w:rsidRPr="2597D5E7" w:rsidRDefault="69EF882A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</w:pPr>
            <w:r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  <w:u w:val="single"/>
              </w:rPr>
              <w:t xml:space="preserve">Late </w:t>
            </w:r>
            <w:r w:rsidR="6DEEE4A8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  <w:u w:val="single"/>
              </w:rPr>
              <w:t>o</w:t>
            </w:r>
            <w:r w:rsidRPr="00FC4458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  <w:u w:val="single"/>
              </w:rPr>
              <w:t>nset</w:t>
            </w:r>
            <w:r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: Nafcillin</w:t>
            </w:r>
            <w:r w:rsidR="6C971EF4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*</w:t>
            </w:r>
            <w:r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 50</w:t>
            </w:r>
            <w:r w:rsidR="07E529F7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 </w:t>
            </w:r>
            <w:r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mg/kg/dose (frequency varies </w:t>
            </w:r>
            <w:r w:rsidR="4086D437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with</w:t>
            </w:r>
            <w:r w:rsidR="6096929E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 GA</w:t>
            </w:r>
            <w:r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 and </w:t>
            </w:r>
            <w:r w:rsidR="167D9207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PNA</w:t>
            </w:r>
            <w:r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) + Ceftazidime 50 mg/kg Q8 (Q12 if &lt;7 days of age)</w:t>
            </w:r>
            <w:r w:rsidR="0CFAF4A1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; can consider ceftriaxone 50 mg/kg Q12 </w:t>
            </w:r>
            <w:r w:rsidR="4A9EECC0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monotherapy </w:t>
            </w:r>
            <w:r w:rsidR="0CFAF4A1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if patient is &gt; 44 weeks corrected GA and </w:t>
            </w:r>
            <w:r w:rsidR="1736A487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not</w:t>
            </w:r>
            <w:r w:rsidR="0CFAF4A1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 receiv</w:t>
            </w:r>
            <w:r w:rsidR="01D670C6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ing</w:t>
            </w:r>
            <w:r w:rsidR="0CFAF4A1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 </w:t>
            </w:r>
            <w:r w:rsidR="5063AD8C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or expected to receive </w:t>
            </w:r>
            <w:r w:rsidR="0CFAF4A1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any calcium-containing IV solutions (including TPN or LR) </w:t>
            </w:r>
          </w:p>
          <w:p w14:paraId="24E5402D" w14:textId="17453BF3" w:rsidR="006905EA" w:rsidRPr="2597D5E7" w:rsidRDefault="006905EA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</w:pPr>
          </w:p>
          <w:p w14:paraId="4F4CC93E" w14:textId="1267BD32" w:rsidR="006905EA" w:rsidRPr="2597D5E7" w:rsidRDefault="2E1CA86B">
            <w:pPr>
              <w:pStyle w:val="NormalWeb"/>
              <w:spacing w:before="0" w:beforeAutospacing="0" w:after="0" w:afterAutospacing="0"/>
            </w:pPr>
            <w:r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  <w:u w:val="single"/>
              </w:rPr>
              <w:t>*</w:t>
            </w:r>
            <w:r w:rsidR="69EF882A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  <w:u w:val="single"/>
              </w:rPr>
              <w:t>If MRSA history or colonization</w:t>
            </w:r>
            <w:r w:rsidR="69EF882A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: replace ampicillin/nafcillin with </w:t>
            </w:r>
            <w:r w:rsidR="46B0EC50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V</w:t>
            </w:r>
            <w:r w:rsidR="69EF882A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ancomycin</w:t>
            </w:r>
            <w:r w:rsidR="66A54BCE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 </w:t>
            </w:r>
            <w:r w:rsidR="23EE2600" w:rsidRPr="3D5872F7">
              <w:rPr>
                <w:rFonts w:ascii="Calibri" w:eastAsia="Calibri" w:hAnsi="Calibri" w:cs="Calibri"/>
                <w:sz w:val="18"/>
                <w:szCs w:val="18"/>
              </w:rPr>
              <w:t>(dose and frequency varies with weight and PNA)</w:t>
            </w:r>
          </w:p>
          <w:p w14:paraId="10DD7BC8" w14:textId="104C613E" w:rsidR="006905EA" w:rsidRPr="2597D5E7" w:rsidRDefault="006905EA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</w:pPr>
          </w:p>
          <w:p w14:paraId="1E496DC2" w14:textId="347741E5" w:rsidR="006905EA" w:rsidRPr="2597D5E7" w:rsidRDefault="73F7CB68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</w:pPr>
            <w:r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 xml:space="preserve">If GBS or other gram-positive organism, treat 14-21 days minimum from first negative culture </w:t>
            </w:r>
          </w:p>
          <w:p w14:paraId="7B3D7B21" w14:textId="3F33C4CF" w:rsidR="006905EA" w:rsidRPr="00FC4458" w:rsidRDefault="73F7CB68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</w:pPr>
            <w:r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If Gram-negative (GN) bacterial meningitis, treat 21 days minimum from first negative culture</w:t>
            </w:r>
          </w:p>
        </w:tc>
        <w:tc>
          <w:tcPr>
            <w:tcW w:w="3285" w:type="dxa"/>
          </w:tcPr>
          <w:p w14:paraId="2F808067" w14:textId="7622AA85" w:rsidR="006905EA" w:rsidRPr="00FC4458" w:rsidRDefault="7A932CC9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Tailor therapy when specific pathogen identified</w:t>
            </w:r>
          </w:p>
          <w:p w14:paraId="2419DA9C" w14:textId="57CA0405" w:rsidR="006905EA" w:rsidRPr="00FC4458" w:rsidRDefault="006905EA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</w:p>
          <w:p w14:paraId="05A5519E" w14:textId="2415742E" w:rsidR="006905EA" w:rsidRPr="00FC4458" w:rsidRDefault="0275EAE7" w:rsidP="00FC445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Obtain a repeat LP after 48-72 hours of therapy with GN meningitis to document clearance (may need repeat LP after 24-48 hours of therapy in complicated GBS)</w:t>
            </w:r>
          </w:p>
        </w:tc>
      </w:tr>
      <w:tr w:rsidR="006905EA" w:rsidRPr="2597D5E7" w14:paraId="7CDA58DF" w14:textId="77777777" w:rsidTr="00FC4458">
        <w:trPr>
          <w:cantSplit/>
          <w:trHeight w:val="360"/>
        </w:trPr>
        <w:tc>
          <w:tcPr>
            <w:tcW w:w="540" w:type="dxa"/>
            <w:vMerge/>
            <w:textDirection w:val="btLr"/>
          </w:tcPr>
          <w:p w14:paraId="4B04E79A" w14:textId="77777777" w:rsidR="006905EA" w:rsidRPr="000B25DA" w:rsidRDefault="006905EA" w:rsidP="00CC15A7">
            <w:pPr>
              <w:ind w:left="113" w:right="113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  <w:tc>
          <w:tcPr>
            <w:tcW w:w="1575" w:type="dxa"/>
            <w:vMerge/>
            <w:vAlign w:val="center"/>
          </w:tcPr>
          <w:p w14:paraId="1635CAE3" w14:textId="77777777" w:rsidR="006905EA" w:rsidRPr="000B25DA" w:rsidRDefault="006905EA" w:rsidP="006905EA">
            <w:pPr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</w:p>
        </w:tc>
        <w:tc>
          <w:tcPr>
            <w:tcW w:w="1440" w:type="dxa"/>
            <w:vAlign w:val="center"/>
          </w:tcPr>
          <w:p w14:paraId="28B530A5" w14:textId="015AFD4F" w:rsidR="006905EA" w:rsidRPr="00FC4458" w:rsidRDefault="006905EA" w:rsidP="3D5872F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18"/>
                <w:szCs w:val="18"/>
                <w:u w:val="single"/>
              </w:rPr>
            </w:pPr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HSV type 1 or 2</w:t>
            </w:r>
          </w:p>
        </w:tc>
        <w:tc>
          <w:tcPr>
            <w:tcW w:w="7465" w:type="dxa"/>
          </w:tcPr>
          <w:p w14:paraId="7C4DEA1F" w14:textId="5BA8BEE0" w:rsidR="006905EA" w:rsidRPr="00FC4458" w:rsidRDefault="0EC60933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>CNS or disseminated disease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: Acyclovir 20 mg/kg/dose Q8 IV x 21 days</w:t>
            </w:r>
          </w:p>
          <w:p w14:paraId="0F0065DF" w14:textId="1B329532" w:rsidR="006905EA" w:rsidRPr="00FC4458" w:rsidRDefault="0EC60933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>SEM disease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: Acyclovir 20mg/kg/dose Q8 IV x 14 days</w:t>
            </w:r>
          </w:p>
          <w:p w14:paraId="6A7F29DE" w14:textId="314C4D27" w:rsidR="006905EA" w:rsidRPr="2597D5E7" w:rsidRDefault="0EC60933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>Ocular involvement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: + Trifluridine 1% ophthalmic solution Q2</w:t>
            </w:r>
          </w:p>
          <w:p w14:paraId="609D5C41" w14:textId="2D55541F" w:rsidR="006905EA" w:rsidRPr="00FC4458" w:rsidRDefault="0EC60933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>Suppressive therapy post treatment for any infection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: PO Acyclovir 300 mg/m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vertAlign w:val="superscript"/>
              </w:rPr>
              <w:t>2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Q8 x 6 months</w:t>
            </w:r>
            <w:r w:rsidR="4549DD82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,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follow with ID</w:t>
            </w:r>
          </w:p>
        </w:tc>
        <w:tc>
          <w:tcPr>
            <w:tcW w:w="3285" w:type="dxa"/>
          </w:tcPr>
          <w:p w14:paraId="7E5ACF94" w14:textId="77F85456" w:rsidR="006905EA" w:rsidRPr="00FC4458" w:rsidRDefault="36BFD25C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Please see HSV treatment algorithm on page 119</w:t>
            </w:r>
          </w:p>
        </w:tc>
      </w:tr>
      <w:tr w:rsidR="006905EA" w:rsidRPr="2597D5E7" w14:paraId="539A40B7" w14:textId="77777777" w:rsidTr="00FC4458">
        <w:trPr>
          <w:cantSplit/>
          <w:trHeight w:val="300"/>
        </w:trPr>
        <w:tc>
          <w:tcPr>
            <w:tcW w:w="540" w:type="dxa"/>
            <w:vMerge/>
            <w:textDirection w:val="btLr"/>
          </w:tcPr>
          <w:p w14:paraId="5F9069CE" w14:textId="77777777" w:rsidR="006905EA" w:rsidRPr="000B25DA" w:rsidRDefault="006905EA" w:rsidP="00CC15A7">
            <w:pPr>
              <w:ind w:left="113" w:right="113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  <w:tc>
          <w:tcPr>
            <w:tcW w:w="1575" w:type="dxa"/>
            <w:vAlign w:val="center"/>
          </w:tcPr>
          <w:p w14:paraId="6C591F68" w14:textId="4E92D191" w:rsidR="006905EA" w:rsidRPr="00FC4458" w:rsidRDefault="006905EA" w:rsidP="3D5872F7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  <w:t>Necrotizing Enterocolitis</w:t>
            </w:r>
          </w:p>
        </w:tc>
        <w:tc>
          <w:tcPr>
            <w:tcW w:w="1440" w:type="dxa"/>
            <w:vAlign w:val="center"/>
          </w:tcPr>
          <w:p w14:paraId="2F10EA01" w14:textId="6F6A5B47" w:rsidR="006905EA" w:rsidRPr="00FC4458" w:rsidRDefault="006905EA" w:rsidP="3D5872F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  <w:u w:val="single"/>
                <w:lang w:val="es-GT"/>
              </w:rPr>
            </w:pPr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pt-BR"/>
              </w:rPr>
              <w:t xml:space="preserve">E. coli, </w:t>
            </w:r>
            <w:r w:rsidR="1067039D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pt-BR"/>
              </w:rPr>
              <w:t xml:space="preserve">Enterobacter, </w:t>
            </w:r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pt-BR"/>
              </w:rPr>
              <w:t>Klebisella, Pseudomonas, Clostridial sp., S. aureus, B. fragilis, Enterococcus, candida</w:t>
            </w:r>
          </w:p>
        </w:tc>
        <w:tc>
          <w:tcPr>
            <w:tcW w:w="7465" w:type="dxa"/>
          </w:tcPr>
          <w:p w14:paraId="30A7A3AC" w14:textId="7CE3374A" w:rsidR="006905EA" w:rsidRPr="00FC4458" w:rsidRDefault="480DC78D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Ampicillin AND Gentamicin</w:t>
            </w:r>
            <w:r w:rsidR="515AFDB0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(dose and frequency varies with GA and weight)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; can consider Piperacillin-Tazobactam 100 mg/kg/dose (frequency varies </w:t>
            </w:r>
            <w:r w:rsidR="6951E0DE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with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GA and PNA) monotherapy</w:t>
            </w:r>
          </w:p>
          <w:p w14:paraId="0324885B" w14:textId="31C3D7C9" w:rsidR="006905EA" w:rsidRPr="2597D5E7" w:rsidRDefault="480DC78D" w:rsidP="3D5872F7">
            <w:pPr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>If cannot exclude CNS involvement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: replace Gentamicin with Ceftazidime 50 mg/kg/dose Q8 </w:t>
            </w:r>
            <w:r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(Q12 if &lt;7 days of age)</w:t>
            </w:r>
          </w:p>
          <w:p w14:paraId="19BF937E" w14:textId="0345A434" w:rsidR="006905EA" w:rsidRPr="00FC4458" w:rsidRDefault="006905EA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</w:pPr>
          </w:p>
          <w:p w14:paraId="6CFEB42E" w14:textId="43D1E143" w:rsidR="006905EA" w:rsidRPr="00FC4458" w:rsidRDefault="480DC78D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>If MRSA history or colonization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: replace Ampicillin with Vancomycin</w:t>
            </w:r>
            <w:r w:rsidR="36E633A8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</w:t>
            </w:r>
            <w:r w:rsidR="6FF69940" w:rsidRPr="3D5872F7">
              <w:rPr>
                <w:rFonts w:ascii="Calibri" w:eastAsia="Calibri" w:hAnsi="Calibri" w:cs="Calibri"/>
                <w:sz w:val="18"/>
                <w:szCs w:val="18"/>
              </w:rPr>
              <w:t>(dose and frequency varies with weight and PNA)</w:t>
            </w:r>
          </w:p>
          <w:p w14:paraId="0F7BB935" w14:textId="3F86BD4E" w:rsidR="006905EA" w:rsidRPr="00FC4458" w:rsidRDefault="480DC78D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>If Candida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: add Fluconazole</w:t>
            </w:r>
          </w:p>
          <w:p w14:paraId="6BB93FAB" w14:textId="5506C90A" w:rsidR="006905EA" w:rsidRPr="00FC4458" w:rsidRDefault="480DC78D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>If cannot exclude perforation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: add Clindamycin or Metronidazole</w:t>
            </w:r>
          </w:p>
          <w:p w14:paraId="6FF1B7F5" w14:textId="0692A356" w:rsidR="006905EA" w:rsidRPr="00FC4458" w:rsidRDefault="006905EA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</w:p>
          <w:p w14:paraId="37AE9979" w14:textId="52570880" w:rsidR="006905EA" w:rsidRPr="00FC4458" w:rsidRDefault="480DC78D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Duration 7-14 days (dependent on Modified Bell’s stage)</w:t>
            </w:r>
          </w:p>
        </w:tc>
        <w:tc>
          <w:tcPr>
            <w:tcW w:w="3285" w:type="dxa"/>
          </w:tcPr>
          <w:p w14:paraId="07818D0F" w14:textId="7124E938" w:rsidR="006905EA" w:rsidRPr="00FC4458" w:rsidRDefault="39204FE9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Broad-spectrum antibiotics is considered standard practice, but</w:t>
            </w:r>
            <w:r w:rsidR="7AAA9119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there is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no consensus on </w:t>
            </w:r>
            <w:r w:rsidR="3BA2D776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the 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preferred regimen</w:t>
            </w:r>
          </w:p>
          <w:p w14:paraId="4042894E" w14:textId="04071E34" w:rsidR="006905EA" w:rsidRPr="00FC4458" w:rsidRDefault="39204FE9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Follow abdominal imaging to determine clinical improvement</w:t>
            </w:r>
          </w:p>
        </w:tc>
      </w:tr>
      <w:tr w:rsidR="006905EA" w:rsidRPr="00B94757" w14:paraId="01C86B58" w14:textId="77777777" w:rsidTr="00FC4458">
        <w:trPr>
          <w:cantSplit/>
          <w:trHeight w:val="300"/>
        </w:trPr>
        <w:tc>
          <w:tcPr>
            <w:tcW w:w="540" w:type="dxa"/>
            <w:vMerge/>
            <w:textDirection w:val="btLr"/>
          </w:tcPr>
          <w:p w14:paraId="5FB17BFA" w14:textId="77777777" w:rsidR="006905EA" w:rsidRPr="000B25DA" w:rsidRDefault="006905EA" w:rsidP="00CC15A7">
            <w:pPr>
              <w:ind w:left="113" w:right="113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  <w:tc>
          <w:tcPr>
            <w:tcW w:w="1575" w:type="dxa"/>
            <w:vAlign w:val="center"/>
          </w:tcPr>
          <w:p w14:paraId="7F3663F5" w14:textId="6E9F47D2" w:rsidR="006905EA" w:rsidRPr="00FC4458" w:rsidRDefault="006905EA" w:rsidP="3D5872F7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  <w:t>Neonatal</w:t>
            </w:r>
          </w:p>
          <w:p w14:paraId="69F575D4" w14:textId="3446123C" w:rsidR="006905EA" w:rsidRPr="00FC4458" w:rsidRDefault="006905EA" w:rsidP="3D5872F7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  <w:t>Pneumonia</w:t>
            </w:r>
          </w:p>
        </w:tc>
        <w:tc>
          <w:tcPr>
            <w:tcW w:w="1440" w:type="dxa"/>
            <w:vAlign w:val="center"/>
          </w:tcPr>
          <w:p w14:paraId="3DE8AF1C" w14:textId="47AA563E" w:rsidR="006905EA" w:rsidRPr="00FC4458" w:rsidRDefault="006905EA" w:rsidP="3D5872F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  <w:u w:val="single"/>
              </w:rPr>
            </w:pPr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pt-BR"/>
              </w:rPr>
              <w:t xml:space="preserve">GBS, Listeria, Enterobacteriaceae, S. aureus, Pseudomonas. 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Viruses: CMV, HSV, </w:t>
            </w:r>
            <w:r w:rsidR="0C01A3B4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RSV, </w:t>
            </w:r>
            <w:r w:rsidR="5EF74CA9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COVID </w:t>
            </w:r>
            <w:r w:rsidR="0C01A3B4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and others </w:t>
            </w:r>
          </w:p>
          <w:p w14:paraId="08B630F1" w14:textId="34D821E3" w:rsidR="006905EA" w:rsidRPr="00FC4458" w:rsidRDefault="46FCC705" w:rsidP="3D5872F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Fungus: Candida</w:t>
            </w:r>
          </w:p>
        </w:tc>
        <w:tc>
          <w:tcPr>
            <w:tcW w:w="7465" w:type="dxa"/>
          </w:tcPr>
          <w:p w14:paraId="09E2AFF4" w14:textId="00388ABE" w:rsidR="006905EA" w:rsidRPr="2597D5E7" w:rsidRDefault="3D5872F7" w:rsidP="00FC4458">
            <w:pPr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Nafcillin 50</w:t>
            </w:r>
            <w:r w:rsidR="55ED5B5E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mg/kg/dose (frequency varies </w:t>
            </w:r>
            <w:r w:rsidR="41C1A1AD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by GA and PNA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) + Ceftazidime 50 mg/kg/dose Q8</w:t>
            </w:r>
            <w:r w:rsidR="0F5DC480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</w:t>
            </w:r>
            <w:r w:rsidR="0F5DC480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(Q12 if &lt;7 days of age)</w:t>
            </w:r>
          </w:p>
          <w:p w14:paraId="35DEC901" w14:textId="59295AE3" w:rsidR="006905EA" w:rsidRPr="2597D5E7" w:rsidRDefault="006905EA" w:rsidP="3D5872F7">
            <w:pPr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</w:pPr>
          </w:p>
          <w:p w14:paraId="7E6D1CC1" w14:textId="478DFF17" w:rsidR="006905EA" w:rsidRPr="00FC4458" w:rsidRDefault="3D5872F7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 xml:space="preserve">If </w:t>
            </w:r>
            <w:r w:rsidR="257A958A"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 xml:space="preserve">history or 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>colonized with MRSA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: </w:t>
            </w:r>
            <w:proofErr w:type="gramStart"/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Vancomycin </w:t>
            </w:r>
            <w:r w:rsidR="35650B8B" w:rsidRPr="3D5872F7"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gramEnd"/>
            <w:r w:rsidR="35650B8B" w:rsidRPr="3D5872F7">
              <w:rPr>
                <w:rFonts w:ascii="Calibri" w:eastAsia="Calibri" w:hAnsi="Calibri" w:cs="Calibri"/>
                <w:sz w:val="18"/>
                <w:szCs w:val="18"/>
              </w:rPr>
              <w:t>dose and frequency varies with weight and PNA)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+ Ceftazidime 50 mg/kg/dose Q8 </w:t>
            </w:r>
            <w:r w:rsidR="489DE241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(Q12 if &lt;7 days of age)</w:t>
            </w:r>
          </w:p>
          <w:p w14:paraId="6AEAA80D" w14:textId="41C319B9" w:rsidR="006905EA" w:rsidRPr="00FC4458" w:rsidRDefault="006905EA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</w:p>
          <w:p w14:paraId="4956EC89" w14:textId="2D7FDD5D" w:rsidR="006905EA" w:rsidRPr="00FC4458" w:rsidRDefault="3D5872F7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u w:val="single"/>
              </w:rPr>
              <w:t>Chlamydia</w:t>
            </w:r>
            <w:r w:rsidR="6D0D63B6"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 xml:space="preserve"> or</w:t>
            </w:r>
            <w:r w:rsidR="6D0D63B6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u w:val="single"/>
              </w:rPr>
              <w:t xml:space="preserve"> </w:t>
            </w:r>
            <w:proofErr w:type="spellStart"/>
            <w:r w:rsidR="6D0D63B6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u w:val="single"/>
              </w:rPr>
              <w:t>Ureaplasma</w:t>
            </w:r>
            <w:proofErr w:type="spellEnd"/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: </w:t>
            </w:r>
            <w:r w:rsidR="580BD519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+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Azithromycin 20 mg/kg/dose PO QD x 3 days</w:t>
            </w:r>
          </w:p>
          <w:p w14:paraId="74A075C5" w14:textId="13D50EA6" w:rsidR="006905EA" w:rsidRPr="00FC4458" w:rsidRDefault="006905EA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</w:p>
          <w:p w14:paraId="2EC037DA" w14:textId="19CF6752" w:rsidR="006905EA" w:rsidRPr="00FC4458" w:rsidRDefault="3B03F0CD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Typical duration is 7-10 days for uncomplicated course</w:t>
            </w:r>
          </w:p>
        </w:tc>
        <w:tc>
          <w:tcPr>
            <w:tcW w:w="3285" w:type="dxa"/>
          </w:tcPr>
          <w:p w14:paraId="7D78B1C0" w14:textId="08124634" w:rsidR="006905EA" w:rsidRPr="00FC4458" w:rsidRDefault="23858708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Tailor therapy when specific pathogen identified </w:t>
            </w:r>
          </w:p>
          <w:p w14:paraId="1D54B501" w14:textId="5ED49DAA" w:rsidR="006905EA" w:rsidRPr="00FC4458" w:rsidRDefault="006905EA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</w:p>
          <w:p w14:paraId="1BAA0C0F" w14:textId="67F38833" w:rsidR="006905EA" w:rsidRPr="00B94757" w:rsidRDefault="23858708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Chlamydial infection typically occurs &gt;2 weeks of age</w:t>
            </w:r>
            <w:r w:rsidR="08A80E00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.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</w:t>
            </w:r>
            <w:r w:rsidR="2020218F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S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uspect when: afebrile, history of exposure, staccato cough </w:t>
            </w:r>
          </w:p>
          <w:p w14:paraId="30568210" w14:textId="67F3D377" w:rsidR="006905EA" w:rsidRPr="00FC4458" w:rsidRDefault="23858708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If afebrile </w:t>
            </w:r>
            <w:r w:rsidR="434051C4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pneumonitis,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consider </w:t>
            </w:r>
            <w:proofErr w:type="spellStart"/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Ureaplasma</w:t>
            </w:r>
            <w:proofErr w:type="spellEnd"/>
            <w:r w:rsidR="36EB387F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 or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Pertussis</w:t>
            </w:r>
          </w:p>
        </w:tc>
      </w:tr>
      <w:tr w:rsidR="006905EA" w:rsidRPr="2597D5E7" w14:paraId="78E970E5" w14:textId="77777777" w:rsidTr="00FC4458">
        <w:trPr>
          <w:cantSplit/>
          <w:trHeight w:val="300"/>
        </w:trPr>
        <w:tc>
          <w:tcPr>
            <w:tcW w:w="540" w:type="dxa"/>
            <w:vMerge/>
            <w:textDirection w:val="btLr"/>
          </w:tcPr>
          <w:p w14:paraId="00CAC60C" w14:textId="77777777" w:rsidR="006905EA" w:rsidRPr="000B25DA" w:rsidRDefault="006905EA" w:rsidP="00CC15A7">
            <w:pPr>
              <w:ind w:left="113" w:right="113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  <w:tc>
          <w:tcPr>
            <w:tcW w:w="1575" w:type="dxa"/>
            <w:vAlign w:val="center"/>
          </w:tcPr>
          <w:p w14:paraId="63B67D00" w14:textId="6635B1D5" w:rsidR="006905EA" w:rsidRPr="00FC4458" w:rsidRDefault="006905EA" w:rsidP="3D5872F7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  <w:t>Neonatal</w:t>
            </w:r>
          </w:p>
          <w:p w14:paraId="7FC36075" w14:textId="6AE6592A" w:rsidR="006905EA" w:rsidRPr="00FC4458" w:rsidRDefault="006905EA" w:rsidP="3D5872F7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  <w:t>Osteomyelitis</w:t>
            </w:r>
          </w:p>
        </w:tc>
        <w:tc>
          <w:tcPr>
            <w:tcW w:w="1440" w:type="dxa"/>
            <w:vAlign w:val="center"/>
          </w:tcPr>
          <w:p w14:paraId="05586CFB" w14:textId="610794C3" w:rsidR="006905EA" w:rsidRPr="00FC4458" w:rsidRDefault="006905EA" w:rsidP="3D5872F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S. aureus, </w:t>
            </w:r>
            <w:proofErr w:type="gramStart"/>
            <w:r w:rsidR="2CA408D6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E.coli</w:t>
            </w:r>
            <w:proofErr w:type="gramEnd"/>
            <w:r w:rsidR="2CA408D6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, Klebsiella, Salmonella</w:t>
            </w:r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, GBS</w:t>
            </w:r>
            <w:r w:rsidR="6DE31BCC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465" w:type="dxa"/>
          </w:tcPr>
          <w:p w14:paraId="6E76753F" w14:textId="669F12E1" w:rsidR="006905EA" w:rsidRPr="2597D5E7" w:rsidRDefault="61E79AF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proofErr w:type="gramStart"/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Vancomycin </w:t>
            </w:r>
            <w:r w:rsidR="3C9EB8DE" w:rsidRPr="3D5872F7"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gramEnd"/>
            <w:r w:rsidR="3C9EB8DE" w:rsidRPr="3D5872F7">
              <w:rPr>
                <w:rFonts w:ascii="Calibri" w:eastAsia="Calibri" w:hAnsi="Calibri" w:cs="Calibri"/>
                <w:sz w:val="18"/>
                <w:szCs w:val="18"/>
              </w:rPr>
              <w:t>dose and frequency varies with weight and PNA)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</w:t>
            </w:r>
            <w:r w:rsidR="4A7CDE24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+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Ceftazidime 50 mg/kg/dose Q8 </w:t>
            </w:r>
            <w:r w:rsidR="49AE1557" w:rsidRPr="3D5872F7">
              <w:rPr>
                <w:rFonts w:asciiTheme="minorHAnsi" w:eastAsiaTheme="minorEastAsia" w:hAnsiTheme="minorHAnsi" w:cstheme="minorBidi"/>
                <w:color w:val="333333"/>
                <w:sz w:val="18"/>
                <w:szCs w:val="18"/>
              </w:rPr>
              <w:t>(Q12 if &lt;7 days of age)</w:t>
            </w:r>
          </w:p>
          <w:p w14:paraId="71D8C33E" w14:textId="734960FF" w:rsidR="006905EA" w:rsidRPr="00FC4458" w:rsidRDefault="006905EA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</w:pPr>
          </w:p>
          <w:p w14:paraId="7320AC45" w14:textId="7FA43EF1" w:rsidR="006905EA" w:rsidRPr="2597D5E7" w:rsidRDefault="61E79AF8" w:rsidP="00FC445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>If no signs of sepsis and no risk factors for MRSA or coagulase-negative staph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: replace Vancomycin with Nafcillin</w:t>
            </w:r>
            <w:r w:rsidR="38F3DC71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50 mg/kg/dose (frequency varies by GA and PNA)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–OR– </w:t>
            </w:r>
            <w:r w:rsidR="38491EDC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C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efepime </w:t>
            </w:r>
            <w:r w:rsidR="2796C6FE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50 mg/kg/dose Q12 (Q8 if PNA &gt;28 days) 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monotherapy </w:t>
            </w:r>
          </w:p>
          <w:p w14:paraId="231D6A8C" w14:textId="45424D7D" w:rsidR="006905EA" w:rsidRPr="00FC4458" w:rsidRDefault="006905EA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</w:p>
          <w:p w14:paraId="554E4E75" w14:textId="6DEEB5F5" w:rsidR="006905EA" w:rsidRPr="00FC4458" w:rsidRDefault="61E79AF8" w:rsidP="00FC445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May </w:t>
            </w:r>
            <w:r w:rsidR="3089027C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consider 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switch to </w:t>
            </w:r>
            <w:r w:rsidR="63650184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enteral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antibiotic equivalent for uncomplicated course </w:t>
            </w:r>
            <w:r w:rsidR="7FA5E501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with ID team </w:t>
            </w:r>
            <w:r w:rsidR="0138C389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input</w:t>
            </w:r>
          </w:p>
          <w:p w14:paraId="566726BA" w14:textId="60E57D10" w:rsidR="006905EA" w:rsidRPr="00FC4458" w:rsidRDefault="006905EA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</w:p>
          <w:p w14:paraId="0344F7C2" w14:textId="49501191" w:rsidR="006905EA" w:rsidRPr="00FC4458" w:rsidRDefault="7FA5E501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Typical duration is 4-6 weeks depending on clinical course</w:t>
            </w:r>
          </w:p>
        </w:tc>
        <w:tc>
          <w:tcPr>
            <w:tcW w:w="3285" w:type="dxa"/>
          </w:tcPr>
          <w:p w14:paraId="5723F091" w14:textId="1527AE30" w:rsidR="7C2AE0B4" w:rsidRPr="00FC4458" w:rsidRDefault="7C2AE0B4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Hematogenous spread is most common cause</w:t>
            </w:r>
          </w:p>
          <w:p w14:paraId="31FB7B0C" w14:textId="7E5A3D2C" w:rsidR="7C2AE0B4" w:rsidRPr="00FC4458" w:rsidRDefault="7C2AE0B4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Send joint fluid for cultures and treat based on etiology identified  </w:t>
            </w:r>
          </w:p>
          <w:p w14:paraId="512AFAEF" w14:textId="4C47C6CF" w:rsidR="006905EA" w:rsidRPr="00FC4458" w:rsidRDefault="7C2AE0B4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No identified organism in up to 50% of cases, continue empiric therapy and monitor clinical response</w:t>
            </w:r>
          </w:p>
        </w:tc>
      </w:tr>
      <w:tr w:rsidR="006905EA" w:rsidRPr="2597D5E7" w14:paraId="64F79D36" w14:textId="77777777" w:rsidTr="00FC4458">
        <w:trPr>
          <w:cantSplit/>
          <w:trHeight w:val="300"/>
        </w:trPr>
        <w:tc>
          <w:tcPr>
            <w:tcW w:w="540" w:type="dxa"/>
            <w:vMerge/>
            <w:textDirection w:val="btLr"/>
          </w:tcPr>
          <w:p w14:paraId="2E9D0BBC" w14:textId="77777777" w:rsidR="006905EA" w:rsidRPr="000B25DA" w:rsidRDefault="006905EA" w:rsidP="00CC15A7">
            <w:pPr>
              <w:ind w:left="113" w:right="113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  <w:tc>
          <w:tcPr>
            <w:tcW w:w="1575" w:type="dxa"/>
            <w:vAlign w:val="center"/>
          </w:tcPr>
          <w:p w14:paraId="4BFAFDC3" w14:textId="56EC81DF" w:rsidR="006905EA" w:rsidRPr="00FC4458" w:rsidRDefault="006905EA" w:rsidP="3D5872F7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  <w:t>Neonatal</w:t>
            </w:r>
          </w:p>
          <w:p w14:paraId="7723541D" w14:textId="76E6068A" w:rsidR="006905EA" w:rsidRPr="00FC4458" w:rsidRDefault="006905EA" w:rsidP="3D5872F7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  <w:t>UTI</w:t>
            </w:r>
          </w:p>
        </w:tc>
        <w:tc>
          <w:tcPr>
            <w:tcW w:w="1440" w:type="dxa"/>
            <w:vAlign w:val="center"/>
          </w:tcPr>
          <w:p w14:paraId="215ED313" w14:textId="76F6668B" w:rsidR="006905EA" w:rsidRPr="00FC4458" w:rsidRDefault="2BC2D436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pt-BR"/>
              </w:rPr>
            </w:pPr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pt-BR"/>
              </w:rPr>
              <w:t xml:space="preserve">E.coli 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lang w:val="pt-BR"/>
              </w:rPr>
              <w:t>(most common)</w:t>
            </w:r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pt-BR"/>
              </w:rPr>
              <w:t xml:space="preserve">, </w:t>
            </w:r>
            <w:r w:rsidR="51CD59C1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pt-BR"/>
              </w:rPr>
              <w:t xml:space="preserve">CoNS, </w:t>
            </w:r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pt-BR"/>
              </w:rPr>
              <w:t xml:space="preserve">Klebsiella, Proteus, Enterobacter. Citrobacter, </w:t>
            </w:r>
            <w:r w:rsidR="237AB897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pt-BR"/>
              </w:rPr>
              <w:t>Enterococcus</w:t>
            </w:r>
            <w:r w:rsidR="006905EA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pt-BR"/>
              </w:rPr>
              <w:t>, S. aureus</w:t>
            </w:r>
            <w:r w:rsidR="042B580D"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pt-BR"/>
              </w:rPr>
              <w:t xml:space="preserve">, Candida </w:t>
            </w:r>
          </w:p>
        </w:tc>
        <w:tc>
          <w:tcPr>
            <w:tcW w:w="7465" w:type="dxa"/>
          </w:tcPr>
          <w:p w14:paraId="3CB1EBB4" w14:textId="2C289EA8" w:rsidR="006905EA" w:rsidRPr="00FC4458" w:rsidRDefault="6BCB9375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  <w:u w:val="single"/>
              </w:rPr>
              <w:t>Early onset</w:t>
            </w: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>: Ampicillin* (order using “Ampicillin intermittent infusion &lt;/=60 days” Order Panel</w:t>
            </w:r>
            <w:r w:rsidR="1E752614"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>)</w:t>
            </w: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 + </w:t>
            </w:r>
            <w:r w:rsidR="49E0AE35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Gentamicin (dose and frequency varies with GA and weight)</w:t>
            </w:r>
          </w:p>
          <w:p w14:paraId="2062E699" w14:textId="1B093A6F" w:rsidR="006905EA" w:rsidRPr="2597D5E7" w:rsidRDefault="6BCB9375" w:rsidP="00FC445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 </w:t>
            </w:r>
          </w:p>
          <w:p w14:paraId="1125C68A" w14:textId="0AC1E7D2" w:rsidR="006905EA" w:rsidRPr="00FC4458" w:rsidRDefault="6BCB9375" w:rsidP="00FC445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  <w:u w:val="single"/>
              </w:rPr>
              <w:t xml:space="preserve">Late </w:t>
            </w:r>
            <w:r w:rsidR="48649505"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  <w:u w:val="single"/>
              </w:rPr>
              <w:t>o</w:t>
            </w: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  <w:u w:val="single"/>
              </w:rPr>
              <w:t>nset</w:t>
            </w: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: Nafcillin* </w:t>
            </w:r>
            <w:r w:rsidR="27CDE9D3"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>25</w:t>
            </w: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>/mg/kg/dose (frequency varies with GA</w:t>
            </w:r>
            <w:r w:rsidR="67411108"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 </w:t>
            </w: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and PNA) + </w:t>
            </w:r>
            <w:r w:rsidR="605DF192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Gentamicin (dose and frequency varies with GA and weight)</w:t>
            </w: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>; can consider ceftriaxone 50 mg/kg Q</w:t>
            </w:r>
            <w:r w:rsidR="630FD068"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>24</w:t>
            </w: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 monotherapy if patient is &gt; 44 weeks corrected GA and not receiving </w:t>
            </w:r>
            <w:r w:rsidR="7C9AF7A6"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or expected to </w:t>
            </w:r>
            <w:r w:rsidR="1FFB2DAC"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>receive</w:t>
            </w:r>
            <w:r w:rsidR="7C9AF7A6"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 </w:t>
            </w: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any calcium-containing IV solutions (including TPN or LR) </w:t>
            </w:r>
          </w:p>
          <w:p w14:paraId="4113E50B" w14:textId="33F18855" w:rsidR="006905EA" w:rsidRPr="2597D5E7" w:rsidRDefault="6BCB9375" w:rsidP="00FC445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 </w:t>
            </w:r>
          </w:p>
          <w:p w14:paraId="0E8B7091" w14:textId="4BE72633" w:rsidR="006905EA" w:rsidRPr="2597D5E7" w:rsidRDefault="6BCB9375" w:rsidP="00FC4458">
            <w:pPr>
              <w:pStyle w:val="NormalWeb"/>
              <w:spacing w:before="0" w:beforeAutospacing="0" w:after="0" w:afterAutospacing="0"/>
            </w:pP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  <w:u w:val="single"/>
              </w:rPr>
              <w:t>*If MRSA history or colonization</w:t>
            </w: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: replace ampicillin/nafcillin with </w:t>
            </w:r>
            <w:r w:rsidR="593363C9"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>V</w:t>
            </w: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>ancomycin</w:t>
            </w:r>
            <w:r w:rsidR="4CD395F1"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 </w:t>
            </w:r>
            <w:r w:rsidR="679DCE37" w:rsidRPr="3D5872F7">
              <w:rPr>
                <w:rFonts w:ascii="Calibri" w:eastAsia="Calibri" w:hAnsi="Calibri" w:cs="Calibri"/>
                <w:sz w:val="18"/>
                <w:szCs w:val="18"/>
              </w:rPr>
              <w:t>(dose and frequency varies with weight and PNA)</w:t>
            </w:r>
          </w:p>
          <w:p w14:paraId="46A1D99E" w14:textId="6154AFC4" w:rsidR="006905EA" w:rsidRPr="00FC4458" w:rsidRDefault="006905EA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</w:p>
          <w:p w14:paraId="1161E13A" w14:textId="59E4BCD7" w:rsidR="006905EA" w:rsidRPr="2597D5E7" w:rsidRDefault="24453C4B" w:rsidP="00FC445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>May switch IV to oral antibiotic equivalent for uncomplicated course</w:t>
            </w:r>
          </w:p>
          <w:p w14:paraId="035130D3" w14:textId="44DD707E" w:rsidR="006905EA" w:rsidRPr="00FC4458" w:rsidRDefault="20AABD39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Consider patient UTI history when choosing empiric therapy</w:t>
            </w:r>
          </w:p>
          <w:p w14:paraId="185A9CEB" w14:textId="766E5745" w:rsidR="006905EA" w:rsidRPr="00FC4458" w:rsidRDefault="20AABD39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Typical duration up to </w:t>
            </w:r>
            <w:r w:rsidR="158644FD"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>7-10</w:t>
            </w:r>
            <w:r w:rsidRPr="00FC4458"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  <w:t xml:space="preserve"> days for uncomplicated course</w:t>
            </w:r>
          </w:p>
        </w:tc>
        <w:tc>
          <w:tcPr>
            <w:tcW w:w="3285" w:type="dxa"/>
          </w:tcPr>
          <w:p w14:paraId="2399F924" w14:textId="5A5F8478" w:rsidR="006905EA" w:rsidRPr="00FC4458" w:rsidRDefault="74B729E4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Collect urine cx from bladder aspiration or catheterization (NOT bagged specimen) and blood culture for full work-up</w:t>
            </w:r>
          </w:p>
        </w:tc>
      </w:tr>
      <w:tr w:rsidR="006905EA" w:rsidRPr="2597D5E7" w14:paraId="65DF1F8D" w14:textId="77777777" w:rsidTr="00FC4458">
        <w:trPr>
          <w:cantSplit/>
          <w:trHeight w:val="300"/>
        </w:trPr>
        <w:tc>
          <w:tcPr>
            <w:tcW w:w="540" w:type="dxa"/>
            <w:vMerge/>
            <w:textDirection w:val="btLr"/>
          </w:tcPr>
          <w:p w14:paraId="0A57173B" w14:textId="77777777" w:rsidR="006905EA" w:rsidRPr="000B25DA" w:rsidRDefault="006905EA" w:rsidP="00CC15A7">
            <w:pPr>
              <w:ind w:left="113" w:right="113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  <w:tc>
          <w:tcPr>
            <w:tcW w:w="1575" w:type="dxa"/>
            <w:vMerge w:val="restart"/>
            <w:vAlign w:val="center"/>
          </w:tcPr>
          <w:p w14:paraId="5A72D5BF" w14:textId="62A00899" w:rsidR="006905EA" w:rsidRPr="00FC4458" w:rsidRDefault="006905EA" w:rsidP="3D5872F7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b/>
                <w:bCs/>
                <w:sz w:val="18"/>
                <w:szCs w:val="18"/>
              </w:rPr>
              <w:t>Neonatal Conjunctivitis</w:t>
            </w:r>
          </w:p>
        </w:tc>
        <w:tc>
          <w:tcPr>
            <w:tcW w:w="12190" w:type="dxa"/>
            <w:gridSpan w:val="3"/>
            <w:vAlign w:val="center"/>
          </w:tcPr>
          <w:p w14:paraId="616A1D4D" w14:textId="0EF303E5" w:rsidR="006905EA" w:rsidRPr="00FC4458" w:rsidRDefault="6271487E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D</w:t>
            </w:r>
            <w:r w:rsidR="006905EA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etermine cause and treatment by t</w:t>
            </w:r>
            <w:r w:rsidR="4D3D3507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ime of </w:t>
            </w:r>
            <w:r w:rsidR="006905EA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onset</w:t>
            </w:r>
            <w:r w:rsidR="0A8FD011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from birth</w:t>
            </w:r>
          </w:p>
          <w:p w14:paraId="0592A561" w14:textId="3F34EBC9" w:rsidR="006905EA" w:rsidRPr="00FC4458" w:rsidRDefault="006905EA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  <w:u w:val="single"/>
              </w:rPr>
              <w:t>Prophylaxis</w:t>
            </w:r>
            <w:r w:rsidR="510F54BB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: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Erythromycin 0.5% ointment </w:t>
            </w:r>
            <w:r w:rsidR="76B3F9EE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applied to each eye within 2 hours of birth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</w:t>
            </w:r>
          </w:p>
        </w:tc>
      </w:tr>
      <w:tr w:rsidR="006905EA" w:rsidRPr="2597D5E7" w14:paraId="1D734129" w14:textId="77777777" w:rsidTr="00FC4458">
        <w:trPr>
          <w:cantSplit/>
          <w:trHeight w:val="300"/>
        </w:trPr>
        <w:tc>
          <w:tcPr>
            <w:tcW w:w="540" w:type="dxa"/>
            <w:vMerge/>
            <w:textDirection w:val="btLr"/>
          </w:tcPr>
          <w:p w14:paraId="3BCA4F98" w14:textId="77777777" w:rsidR="006905EA" w:rsidRPr="000B25DA" w:rsidRDefault="006905EA" w:rsidP="00CC15A7">
            <w:pPr>
              <w:ind w:left="113" w:right="113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  <w:tc>
          <w:tcPr>
            <w:tcW w:w="1575" w:type="dxa"/>
            <w:vMerge/>
            <w:vAlign w:val="center"/>
          </w:tcPr>
          <w:p w14:paraId="01BDE1DB" w14:textId="254A184B" w:rsidR="006905EA" w:rsidRPr="000B25DA" w:rsidRDefault="006905EA" w:rsidP="00CC15A7">
            <w:pPr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</w:p>
        </w:tc>
        <w:tc>
          <w:tcPr>
            <w:tcW w:w="1440" w:type="dxa"/>
            <w:vAlign w:val="center"/>
          </w:tcPr>
          <w:p w14:paraId="6C8E415C" w14:textId="3BC38F73" w:rsidR="006905EA" w:rsidRPr="00FC4458" w:rsidRDefault="006905EA" w:rsidP="3D5872F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  <w:u w:val="single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Onset 2-4 days: </w:t>
            </w:r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N. gonorrhea</w:t>
            </w:r>
          </w:p>
        </w:tc>
        <w:tc>
          <w:tcPr>
            <w:tcW w:w="7465" w:type="dxa"/>
          </w:tcPr>
          <w:p w14:paraId="58F2236E" w14:textId="64786017" w:rsidR="006905EA" w:rsidRPr="00FC4458" w:rsidRDefault="6D50819A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Ceftriaxone 25-50 mg/kg IV/IM x1 (max 250 mg) *cannot be used in neonates requiring calcium-containing fluids or in neonates with hyperbilirubinemia* </w:t>
            </w:r>
          </w:p>
          <w:p w14:paraId="3CA77F20" w14:textId="6AB62E18" w:rsidR="006905EA" w:rsidRPr="00FC4458" w:rsidRDefault="6D50819A" w:rsidP="00FC445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Consult ID if cannot use ceftriaxone (consider Ceftazidime)</w:t>
            </w:r>
          </w:p>
          <w:p w14:paraId="286E461C" w14:textId="486B471A" w:rsidR="006905EA" w:rsidRPr="00FC4458" w:rsidRDefault="6D50819A" w:rsidP="00FC445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May treat 7-14 </w:t>
            </w:r>
            <w:r w:rsidR="4E3CD91A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days 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for disseminated infection </w:t>
            </w:r>
          </w:p>
        </w:tc>
        <w:tc>
          <w:tcPr>
            <w:tcW w:w="3285" w:type="dxa"/>
          </w:tcPr>
          <w:p w14:paraId="20C16AD2" w14:textId="2B6A298A" w:rsidR="006905EA" w:rsidRPr="00FC4458" w:rsidRDefault="4B42EEBE" w:rsidP="3D5872F7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sz w:val="18"/>
                <w:szCs w:val="18"/>
              </w:rPr>
            </w:pPr>
            <w:proofErr w:type="spellStart"/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Hyperpurulent</w:t>
            </w:r>
            <w:proofErr w:type="spellEnd"/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</w:t>
            </w:r>
          </w:p>
          <w:p w14:paraId="23D60CEE" w14:textId="610CE13F" w:rsidR="006905EA" w:rsidRPr="2597D5E7" w:rsidRDefault="4B42EEBE" w:rsidP="00FC445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Topical treatment insufficient </w:t>
            </w:r>
          </w:p>
          <w:p w14:paraId="7D815962" w14:textId="19F238BD" w:rsidR="006905EA" w:rsidRPr="2597D5E7" w:rsidRDefault="4B42EEBE" w:rsidP="00FC445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Evaluate for Chlamydia </w:t>
            </w:r>
          </w:p>
          <w:p w14:paraId="6EB936DE" w14:textId="4D70A0B6" w:rsidR="006905EA" w:rsidRPr="2597D5E7" w:rsidRDefault="4B42EEBE" w:rsidP="00FC445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Treat mother and partners  </w:t>
            </w:r>
          </w:p>
          <w:p w14:paraId="57BA343F" w14:textId="0BAEBD12" w:rsidR="006905EA" w:rsidRPr="00FC4458" w:rsidRDefault="4B42EEBE" w:rsidP="00FC4458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Always also irrigate eyes with saline</w:t>
            </w:r>
          </w:p>
        </w:tc>
      </w:tr>
      <w:tr w:rsidR="006905EA" w:rsidRPr="2597D5E7" w14:paraId="6259ACE1" w14:textId="77777777" w:rsidTr="00FC4458">
        <w:trPr>
          <w:cantSplit/>
          <w:trHeight w:val="300"/>
        </w:trPr>
        <w:tc>
          <w:tcPr>
            <w:tcW w:w="540" w:type="dxa"/>
            <w:vMerge/>
            <w:textDirection w:val="btLr"/>
          </w:tcPr>
          <w:p w14:paraId="4A471C4D" w14:textId="77777777" w:rsidR="006905EA" w:rsidRPr="000B25DA" w:rsidRDefault="006905EA" w:rsidP="006905EA">
            <w:pPr>
              <w:ind w:left="113" w:right="113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  <w:tc>
          <w:tcPr>
            <w:tcW w:w="1575" w:type="dxa"/>
            <w:vMerge/>
            <w:vAlign w:val="center"/>
          </w:tcPr>
          <w:p w14:paraId="251593EF" w14:textId="77777777" w:rsidR="006905EA" w:rsidRDefault="006905EA" w:rsidP="006905EA">
            <w:pPr>
              <w:jc w:val="center"/>
              <w:rPr>
                <w:rFonts w:ascii="Calibri" w:hAnsi="Calibri" w:cs="Tahoma"/>
                <w:b/>
                <w:sz w:val="18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47D9091F" w14:textId="6966F03B" w:rsidR="006905EA" w:rsidRPr="00FC4458" w:rsidRDefault="006905EA" w:rsidP="3D5872F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Onset </w:t>
            </w:r>
            <w:r w:rsidR="1309AD8F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a few </w:t>
            </w:r>
            <w:r w:rsidR="3AB51A72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days</w:t>
            </w:r>
            <w:r w:rsidR="6F08FD43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</w:t>
            </w:r>
            <w:r w:rsidR="3AB51A72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-</w:t>
            </w:r>
            <w:r w:rsidR="28B57C86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</w:t>
            </w:r>
            <w:r w:rsidR="3AB51A72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several weeks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: </w:t>
            </w:r>
            <w:r w:rsidRPr="00FC4458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C. trachomatis</w:t>
            </w:r>
          </w:p>
        </w:tc>
        <w:tc>
          <w:tcPr>
            <w:tcW w:w="7465" w:type="dxa"/>
          </w:tcPr>
          <w:p w14:paraId="6E11285A" w14:textId="1DA4F9B0" w:rsidR="006905EA" w:rsidRPr="00FC4458" w:rsidRDefault="1AD11FD1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Erythromycin 12.5 mg/kg</w:t>
            </w:r>
            <w:r w:rsidR="066F0770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/dose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PO Q6 </w:t>
            </w:r>
          </w:p>
          <w:p w14:paraId="6C3FC72C" w14:textId="0132711C" w:rsidR="006905EA" w:rsidRPr="00FC4458" w:rsidRDefault="1AD11FD1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Typical duration</w:t>
            </w:r>
            <w:r w:rsidR="756A8075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is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14 days</w:t>
            </w:r>
          </w:p>
        </w:tc>
        <w:tc>
          <w:tcPr>
            <w:tcW w:w="3285" w:type="dxa"/>
          </w:tcPr>
          <w:p w14:paraId="293FAEDB" w14:textId="7940C923" w:rsidR="006905EA" w:rsidRPr="00FC4458" w:rsidRDefault="0DD39B14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Treat mother and partners</w:t>
            </w:r>
          </w:p>
          <w:p w14:paraId="65C8C5D0" w14:textId="2F299607" w:rsidR="006905EA" w:rsidRPr="00FC4458" w:rsidRDefault="254BFB19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Data on azithromycin for treating neonatal chlamydial</w:t>
            </w:r>
            <w:r w:rsidR="44B7EE11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ophthalmia neonatorum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are limited</w:t>
            </w:r>
            <w:r w:rsidR="7278A95F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;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however, a short course may be </w:t>
            </w:r>
            <w:r w:rsidR="1EA70148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effective</w:t>
            </w:r>
          </w:p>
        </w:tc>
      </w:tr>
      <w:tr w:rsidR="006905EA" w:rsidRPr="2597D5E7" w14:paraId="0183DE8C" w14:textId="77777777" w:rsidTr="00FC4458">
        <w:trPr>
          <w:cantSplit/>
          <w:trHeight w:val="300"/>
        </w:trPr>
        <w:tc>
          <w:tcPr>
            <w:tcW w:w="540" w:type="dxa"/>
            <w:vMerge/>
            <w:textDirection w:val="btLr"/>
          </w:tcPr>
          <w:p w14:paraId="2538BCF5" w14:textId="77777777" w:rsidR="006905EA" w:rsidRPr="000B25DA" w:rsidRDefault="006905EA" w:rsidP="006905EA">
            <w:pPr>
              <w:ind w:left="113" w:right="113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  <w:tc>
          <w:tcPr>
            <w:tcW w:w="1575" w:type="dxa"/>
            <w:vMerge/>
            <w:vAlign w:val="center"/>
          </w:tcPr>
          <w:p w14:paraId="0CB5B762" w14:textId="77777777" w:rsidR="006905EA" w:rsidRDefault="006905EA" w:rsidP="006905EA">
            <w:pPr>
              <w:jc w:val="center"/>
              <w:rPr>
                <w:rFonts w:ascii="Calibri" w:hAnsi="Calibri" w:cs="Tahoma"/>
                <w:b/>
                <w:sz w:val="18"/>
                <w:szCs w:val="16"/>
              </w:rPr>
            </w:pPr>
          </w:p>
        </w:tc>
        <w:tc>
          <w:tcPr>
            <w:tcW w:w="1440" w:type="dxa"/>
          </w:tcPr>
          <w:p w14:paraId="3248DCCE" w14:textId="245D8487" w:rsidR="006905EA" w:rsidRPr="00FC4458" w:rsidRDefault="006905EA" w:rsidP="3D5872F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Onset </w:t>
            </w:r>
            <w:r w:rsidR="3CFC67E9"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4</w:t>
            </w: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-14 days: HSV</w:t>
            </w:r>
          </w:p>
        </w:tc>
        <w:tc>
          <w:tcPr>
            <w:tcW w:w="10750" w:type="dxa"/>
            <w:gridSpan w:val="2"/>
          </w:tcPr>
          <w:p w14:paraId="5F3EA66F" w14:textId="3EB59699" w:rsidR="006905EA" w:rsidRPr="00FC4458" w:rsidRDefault="006905EA" w:rsidP="3D5872F7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Consider if serous discharge (not mucopurulent), bulbar injection and corneal dendrites on fluorescein exam.  Consult </w:t>
            </w:r>
            <w:proofErr w:type="spellStart"/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>ophtho</w:t>
            </w:r>
            <w:proofErr w:type="spellEnd"/>
            <w:r w:rsidRPr="00FC4458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immediately. Requires full evaluation for neonatal HSV including CSF.  Treat systemically and topically.</w:t>
            </w:r>
          </w:p>
        </w:tc>
      </w:tr>
    </w:tbl>
    <w:p w14:paraId="248B828F" w14:textId="77777777" w:rsidR="008D7A95" w:rsidRPr="006905EA" w:rsidRDefault="008D7A95" w:rsidP="006905EA"/>
    <w:sectPr w:rsidR="008D7A95" w:rsidRPr="006905EA" w:rsidSect="006905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EA"/>
    <w:rsid w:val="00316F63"/>
    <w:rsid w:val="0056536B"/>
    <w:rsid w:val="006905EA"/>
    <w:rsid w:val="00753840"/>
    <w:rsid w:val="008D7A95"/>
    <w:rsid w:val="009A6657"/>
    <w:rsid w:val="00AC7C5D"/>
    <w:rsid w:val="00E37A88"/>
    <w:rsid w:val="00F17AC7"/>
    <w:rsid w:val="00F3BF1F"/>
    <w:rsid w:val="00FC4458"/>
    <w:rsid w:val="0138C389"/>
    <w:rsid w:val="0159E64E"/>
    <w:rsid w:val="01D670C6"/>
    <w:rsid w:val="020548BA"/>
    <w:rsid w:val="026AFD2C"/>
    <w:rsid w:val="0275EAE7"/>
    <w:rsid w:val="028240E0"/>
    <w:rsid w:val="02BF54AE"/>
    <w:rsid w:val="02F07747"/>
    <w:rsid w:val="032DECB4"/>
    <w:rsid w:val="042B580D"/>
    <w:rsid w:val="043B3F01"/>
    <w:rsid w:val="04E49ED2"/>
    <w:rsid w:val="04FA70AA"/>
    <w:rsid w:val="04FD8DC0"/>
    <w:rsid w:val="051D917A"/>
    <w:rsid w:val="054EE9B8"/>
    <w:rsid w:val="05FA716A"/>
    <w:rsid w:val="066F0770"/>
    <w:rsid w:val="06904287"/>
    <w:rsid w:val="06EBF483"/>
    <w:rsid w:val="077540E2"/>
    <w:rsid w:val="07A76148"/>
    <w:rsid w:val="07E529F7"/>
    <w:rsid w:val="08A80E00"/>
    <w:rsid w:val="09CA7C4F"/>
    <w:rsid w:val="0A5B5339"/>
    <w:rsid w:val="0A680CDF"/>
    <w:rsid w:val="0A74C543"/>
    <w:rsid w:val="0A8FD011"/>
    <w:rsid w:val="0A946373"/>
    <w:rsid w:val="0AC48140"/>
    <w:rsid w:val="0C01A3B4"/>
    <w:rsid w:val="0C07E883"/>
    <w:rsid w:val="0C5D3476"/>
    <w:rsid w:val="0C8A1A5D"/>
    <w:rsid w:val="0C962FF3"/>
    <w:rsid w:val="0CFAF4A1"/>
    <w:rsid w:val="0D083946"/>
    <w:rsid w:val="0D167693"/>
    <w:rsid w:val="0D729686"/>
    <w:rsid w:val="0DCA0200"/>
    <w:rsid w:val="0DD39B14"/>
    <w:rsid w:val="0E2394CC"/>
    <w:rsid w:val="0E629346"/>
    <w:rsid w:val="0E92B324"/>
    <w:rsid w:val="0EB1F869"/>
    <w:rsid w:val="0EC60933"/>
    <w:rsid w:val="0EE59E89"/>
    <w:rsid w:val="0F5DC480"/>
    <w:rsid w:val="10145AEA"/>
    <w:rsid w:val="101B4A08"/>
    <w:rsid w:val="10649BC6"/>
    <w:rsid w:val="1067039D"/>
    <w:rsid w:val="10D01430"/>
    <w:rsid w:val="112CFD1E"/>
    <w:rsid w:val="1309AD8F"/>
    <w:rsid w:val="13B96254"/>
    <w:rsid w:val="14265302"/>
    <w:rsid w:val="1492CD9C"/>
    <w:rsid w:val="14E28386"/>
    <w:rsid w:val="157A383C"/>
    <w:rsid w:val="158644FD"/>
    <w:rsid w:val="162B37D4"/>
    <w:rsid w:val="16372283"/>
    <w:rsid w:val="1644E566"/>
    <w:rsid w:val="167BDC20"/>
    <w:rsid w:val="167D9207"/>
    <w:rsid w:val="16B0F246"/>
    <w:rsid w:val="1736A487"/>
    <w:rsid w:val="174A3FE3"/>
    <w:rsid w:val="17585F4C"/>
    <w:rsid w:val="17C6D6F1"/>
    <w:rsid w:val="18ED37AB"/>
    <w:rsid w:val="199C45CA"/>
    <w:rsid w:val="1A3CBDD6"/>
    <w:rsid w:val="1A6E6240"/>
    <w:rsid w:val="1AD11FD1"/>
    <w:rsid w:val="1CA51AC5"/>
    <w:rsid w:val="1E752614"/>
    <w:rsid w:val="1E833FB4"/>
    <w:rsid w:val="1EA70148"/>
    <w:rsid w:val="1ED9AF5D"/>
    <w:rsid w:val="1EDF90AE"/>
    <w:rsid w:val="1EE35D6E"/>
    <w:rsid w:val="1F1FFE6C"/>
    <w:rsid w:val="1F83E32B"/>
    <w:rsid w:val="1FFB2DAC"/>
    <w:rsid w:val="2008DAE5"/>
    <w:rsid w:val="2020218F"/>
    <w:rsid w:val="20303262"/>
    <w:rsid w:val="20414418"/>
    <w:rsid w:val="20AABD39"/>
    <w:rsid w:val="21795364"/>
    <w:rsid w:val="224D8F78"/>
    <w:rsid w:val="227739D8"/>
    <w:rsid w:val="237875F0"/>
    <w:rsid w:val="237AB897"/>
    <w:rsid w:val="23858708"/>
    <w:rsid w:val="23EE2600"/>
    <w:rsid w:val="244518F0"/>
    <w:rsid w:val="24453C4B"/>
    <w:rsid w:val="246BC7C7"/>
    <w:rsid w:val="24BBECE9"/>
    <w:rsid w:val="254BFB19"/>
    <w:rsid w:val="25504B76"/>
    <w:rsid w:val="257A958A"/>
    <w:rsid w:val="25B413BA"/>
    <w:rsid w:val="2621360F"/>
    <w:rsid w:val="262B3215"/>
    <w:rsid w:val="262C8B27"/>
    <w:rsid w:val="2637925C"/>
    <w:rsid w:val="26538EB1"/>
    <w:rsid w:val="26C55F99"/>
    <w:rsid w:val="2705F474"/>
    <w:rsid w:val="27765CF0"/>
    <w:rsid w:val="2796C6FE"/>
    <w:rsid w:val="27CBA9E1"/>
    <w:rsid w:val="27CDE9D3"/>
    <w:rsid w:val="2811A12E"/>
    <w:rsid w:val="286D5A07"/>
    <w:rsid w:val="28B57C86"/>
    <w:rsid w:val="28FFEEB9"/>
    <w:rsid w:val="29006F98"/>
    <w:rsid w:val="292227B1"/>
    <w:rsid w:val="2A993508"/>
    <w:rsid w:val="2AC51799"/>
    <w:rsid w:val="2BC2D436"/>
    <w:rsid w:val="2C1063B0"/>
    <w:rsid w:val="2CA408D6"/>
    <w:rsid w:val="2CB9FEEB"/>
    <w:rsid w:val="2E05E793"/>
    <w:rsid w:val="2E1CA86B"/>
    <w:rsid w:val="2F501E35"/>
    <w:rsid w:val="2FBAB444"/>
    <w:rsid w:val="2FE116A5"/>
    <w:rsid w:val="30035B84"/>
    <w:rsid w:val="30393CC2"/>
    <w:rsid w:val="3089027C"/>
    <w:rsid w:val="30BD7319"/>
    <w:rsid w:val="30EEC10B"/>
    <w:rsid w:val="31EF4F21"/>
    <w:rsid w:val="323D3338"/>
    <w:rsid w:val="328DD573"/>
    <w:rsid w:val="33DB9DAD"/>
    <w:rsid w:val="33FCCA8D"/>
    <w:rsid w:val="35650B8B"/>
    <w:rsid w:val="365F1947"/>
    <w:rsid w:val="3666DB4A"/>
    <w:rsid w:val="36BFD25C"/>
    <w:rsid w:val="36E633A8"/>
    <w:rsid w:val="36EB387F"/>
    <w:rsid w:val="37505495"/>
    <w:rsid w:val="378C6E47"/>
    <w:rsid w:val="37B3838E"/>
    <w:rsid w:val="37F92549"/>
    <w:rsid w:val="380BFD41"/>
    <w:rsid w:val="38491EDC"/>
    <w:rsid w:val="38F3DC71"/>
    <w:rsid w:val="39204FE9"/>
    <w:rsid w:val="3939740C"/>
    <w:rsid w:val="395EF3FC"/>
    <w:rsid w:val="396A1636"/>
    <w:rsid w:val="39DF4ED5"/>
    <w:rsid w:val="39E186AE"/>
    <w:rsid w:val="3A2425DA"/>
    <w:rsid w:val="3A903EDE"/>
    <w:rsid w:val="3AAF2C96"/>
    <w:rsid w:val="3AB51A72"/>
    <w:rsid w:val="3B03F0CD"/>
    <w:rsid w:val="3B4ADF67"/>
    <w:rsid w:val="3BA2D776"/>
    <w:rsid w:val="3BFD54DA"/>
    <w:rsid w:val="3C660301"/>
    <w:rsid w:val="3C6EC9D0"/>
    <w:rsid w:val="3C9EB8DE"/>
    <w:rsid w:val="3CCB84AB"/>
    <w:rsid w:val="3CFC67E9"/>
    <w:rsid w:val="3D5872F7"/>
    <w:rsid w:val="3D640CB3"/>
    <w:rsid w:val="3D7E6625"/>
    <w:rsid w:val="3DD190CF"/>
    <w:rsid w:val="3ED752AC"/>
    <w:rsid w:val="3EDF9F00"/>
    <w:rsid w:val="3EEF78C8"/>
    <w:rsid w:val="3F404390"/>
    <w:rsid w:val="3FE135C2"/>
    <w:rsid w:val="4086D437"/>
    <w:rsid w:val="40E6EAF8"/>
    <w:rsid w:val="419EB4D4"/>
    <w:rsid w:val="41C1A1AD"/>
    <w:rsid w:val="41D9842F"/>
    <w:rsid w:val="422E09FD"/>
    <w:rsid w:val="434051C4"/>
    <w:rsid w:val="434DA446"/>
    <w:rsid w:val="435DDFD7"/>
    <w:rsid w:val="4382D38E"/>
    <w:rsid w:val="440B7C3B"/>
    <w:rsid w:val="449EF7B7"/>
    <w:rsid w:val="44B7EE11"/>
    <w:rsid w:val="44C9AB05"/>
    <w:rsid w:val="44E19C17"/>
    <w:rsid w:val="44F6BF47"/>
    <w:rsid w:val="4549DD82"/>
    <w:rsid w:val="45D7B4A4"/>
    <w:rsid w:val="4637F900"/>
    <w:rsid w:val="4648A923"/>
    <w:rsid w:val="46B0EC50"/>
    <w:rsid w:val="46FCC705"/>
    <w:rsid w:val="4762BF94"/>
    <w:rsid w:val="47DD959A"/>
    <w:rsid w:val="480DC78D"/>
    <w:rsid w:val="48649505"/>
    <w:rsid w:val="489DE241"/>
    <w:rsid w:val="48F187C8"/>
    <w:rsid w:val="49AE1557"/>
    <w:rsid w:val="49E0AE35"/>
    <w:rsid w:val="49ED9C93"/>
    <w:rsid w:val="4A4DADBE"/>
    <w:rsid w:val="4A7CDE24"/>
    <w:rsid w:val="4A9EECC0"/>
    <w:rsid w:val="4AB06FFA"/>
    <w:rsid w:val="4B42EEBE"/>
    <w:rsid w:val="4B58CA8D"/>
    <w:rsid w:val="4B65F479"/>
    <w:rsid w:val="4CD395F1"/>
    <w:rsid w:val="4D3D3507"/>
    <w:rsid w:val="4D7D9242"/>
    <w:rsid w:val="4DAEA3E2"/>
    <w:rsid w:val="4E3CD91A"/>
    <w:rsid w:val="4E422383"/>
    <w:rsid w:val="50014D70"/>
    <w:rsid w:val="5063AD8C"/>
    <w:rsid w:val="510F54BB"/>
    <w:rsid w:val="515AFDB0"/>
    <w:rsid w:val="519CEBE7"/>
    <w:rsid w:val="51CD59C1"/>
    <w:rsid w:val="51D99950"/>
    <w:rsid w:val="52A2C7CB"/>
    <w:rsid w:val="531FDE03"/>
    <w:rsid w:val="53450D35"/>
    <w:rsid w:val="53F9A9C2"/>
    <w:rsid w:val="54CCFA63"/>
    <w:rsid w:val="54E8502A"/>
    <w:rsid w:val="554E300F"/>
    <w:rsid w:val="556626C0"/>
    <w:rsid w:val="558D5FD4"/>
    <w:rsid w:val="55B4AB35"/>
    <w:rsid w:val="55DFDD50"/>
    <w:rsid w:val="55ED5B5E"/>
    <w:rsid w:val="56B7C542"/>
    <w:rsid w:val="5731818F"/>
    <w:rsid w:val="578013D1"/>
    <w:rsid w:val="5784E20D"/>
    <w:rsid w:val="57CC2FC8"/>
    <w:rsid w:val="57FE8F55"/>
    <w:rsid w:val="580BD519"/>
    <w:rsid w:val="5822C591"/>
    <w:rsid w:val="5928D633"/>
    <w:rsid w:val="593363C9"/>
    <w:rsid w:val="5995BE4A"/>
    <w:rsid w:val="59967349"/>
    <w:rsid w:val="59B4C2CE"/>
    <w:rsid w:val="5A1F50C1"/>
    <w:rsid w:val="5A9EB7E4"/>
    <w:rsid w:val="5AE05870"/>
    <w:rsid w:val="5B1A83CE"/>
    <w:rsid w:val="5B294384"/>
    <w:rsid w:val="5BA11E6E"/>
    <w:rsid w:val="5BD3C5DD"/>
    <w:rsid w:val="5BE96677"/>
    <w:rsid w:val="5C41DBC0"/>
    <w:rsid w:val="5C5D807F"/>
    <w:rsid w:val="5DA2F976"/>
    <w:rsid w:val="5E9A482D"/>
    <w:rsid w:val="5ECA1E2D"/>
    <w:rsid w:val="5EF74CA9"/>
    <w:rsid w:val="5F2511CC"/>
    <w:rsid w:val="5FBA22EB"/>
    <w:rsid w:val="5FBC55D5"/>
    <w:rsid w:val="604673C3"/>
    <w:rsid w:val="605DF192"/>
    <w:rsid w:val="6096929E"/>
    <w:rsid w:val="618217B0"/>
    <w:rsid w:val="61DA58AE"/>
    <w:rsid w:val="61E79AF8"/>
    <w:rsid w:val="6271487E"/>
    <w:rsid w:val="629BADAF"/>
    <w:rsid w:val="630FD068"/>
    <w:rsid w:val="634843F3"/>
    <w:rsid w:val="63650184"/>
    <w:rsid w:val="64113EAB"/>
    <w:rsid w:val="65709EA0"/>
    <w:rsid w:val="663CECA4"/>
    <w:rsid w:val="665BE034"/>
    <w:rsid w:val="66A54BCE"/>
    <w:rsid w:val="6713AEA0"/>
    <w:rsid w:val="671C3578"/>
    <w:rsid w:val="67411108"/>
    <w:rsid w:val="6745EBA8"/>
    <w:rsid w:val="679DCE37"/>
    <w:rsid w:val="6876A7FB"/>
    <w:rsid w:val="6882335E"/>
    <w:rsid w:val="6951E0DE"/>
    <w:rsid w:val="69EF882A"/>
    <w:rsid w:val="6A2C1549"/>
    <w:rsid w:val="6A8F5995"/>
    <w:rsid w:val="6B0E6DD5"/>
    <w:rsid w:val="6BB906EA"/>
    <w:rsid w:val="6BCB9375"/>
    <w:rsid w:val="6BD565FD"/>
    <w:rsid w:val="6C971EF4"/>
    <w:rsid w:val="6CFAA21B"/>
    <w:rsid w:val="6D0D63B6"/>
    <w:rsid w:val="6D50819A"/>
    <w:rsid w:val="6DE31BCC"/>
    <w:rsid w:val="6DE68072"/>
    <w:rsid w:val="6DEDBCD7"/>
    <w:rsid w:val="6DEEE4A8"/>
    <w:rsid w:val="6E053953"/>
    <w:rsid w:val="6E12E368"/>
    <w:rsid w:val="6F08FD43"/>
    <w:rsid w:val="6F1B61DE"/>
    <w:rsid w:val="6FF69940"/>
    <w:rsid w:val="70AFDF3A"/>
    <w:rsid w:val="716EAFE3"/>
    <w:rsid w:val="71AD15C0"/>
    <w:rsid w:val="71B533D0"/>
    <w:rsid w:val="72167548"/>
    <w:rsid w:val="7278A95F"/>
    <w:rsid w:val="72A2C109"/>
    <w:rsid w:val="7377FAC8"/>
    <w:rsid w:val="73F7CB68"/>
    <w:rsid w:val="740F388B"/>
    <w:rsid w:val="74A68C7C"/>
    <w:rsid w:val="74B729E4"/>
    <w:rsid w:val="75009F13"/>
    <w:rsid w:val="756A8075"/>
    <w:rsid w:val="757B6E53"/>
    <w:rsid w:val="76A42B7E"/>
    <w:rsid w:val="76B3F9EE"/>
    <w:rsid w:val="77757FD7"/>
    <w:rsid w:val="7864D3EE"/>
    <w:rsid w:val="79210548"/>
    <w:rsid w:val="792CC6D5"/>
    <w:rsid w:val="799EDA01"/>
    <w:rsid w:val="79AFA816"/>
    <w:rsid w:val="7A932CC9"/>
    <w:rsid w:val="7AAA9119"/>
    <w:rsid w:val="7AF9F72B"/>
    <w:rsid w:val="7BBE87E2"/>
    <w:rsid w:val="7BEE1887"/>
    <w:rsid w:val="7C2AE0B4"/>
    <w:rsid w:val="7C9AF7A6"/>
    <w:rsid w:val="7DC08888"/>
    <w:rsid w:val="7E318172"/>
    <w:rsid w:val="7F525405"/>
    <w:rsid w:val="7F6A45B7"/>
    <w:rsid w:val="7FA5E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CFAD"/>
  <w15:chartTrackingRefBased/>
  <w15:docId w15:val="{B4FD1B50-C7ED-4A4D-8726-64937909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5EA"/>
    <w:pPr>
      <w:spacing w:after="0" w:line="240" w:lineRule="auto"/>
    </w:pPr>
    <w:rPr>
      <w:rFonts w:ascii="Arial Narrow" w:eastAsia="Times New Roman" w:hAnsi="Arial Narrow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905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905E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6905E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905EA"/>
  </w:style>
  <w:style w:type="character" w:customStyle="1" w:styleId="CommentTextChar">
    <w:name w:val="Comment Text Char"/>
    <w:basedOn w:val="DefaultParagraphFont"/>
    <w:link w:val="CommentText"/>
    <w:rsid w:val="006905EA"/>
    <w:rPr>
      <w:rFonts w:ascii="Arial Narrow" w:eastAsia="Times New Roman" w:hAnsi="Arial Narrow" w:cs="Times New Roman"/>
      <w:sz w:val="20"/>
      <w:szCs w:val="20"/>
    </w:rPr>
  </w:style>
  <w:style w:type="paragraph" w:styleId="Revision">
    <w:name w:val="Revision"/>
    <w:hidden/>
    <w:uiPriority w:val="99"/>
    <w:semiHidden/>
    <w:rsid w:val="00FC4458"/>
    <w:pPr>
      <w:spacing w:after="0" w:line="240" w:lineRule="auto"/>
    </w:pPr>
    <w:rPr>
      <w:rFonts w:ascii="Arial Narrow" w:eastAsia="Times New Roman" w:hAnsi="Arial Narro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Ireson, Libby (She/Her/Hers)</dc:creator>
  <cp:keywords/>
  <dc:description/>
  <cp:lastModifiedBy>Courter, Josh (He/Him/His)</cp:lastModifiedBy>
  <cp:revision>3</cp:revision>
  <cp:lastPrinted>2023-02-02T19:47:00Z</cp:lastPrinted>
  <dcterms:created xsi:type="dcterms:W3CDTF">2024-12-14T02:11:00Z</dcterms:created>
  <dcterms:modified xsi:type="dcterms:W3CDTF">2024-12-18T14:33:00Z</dcterms:modified>
</cp:coreProperties>
</file>