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B1A55" w14:textId="77777777" w:rsidR="00EE7DCD" w:rsidRDefault="00EE7DCD">
      <w:pPr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264E069F" w14:textId="77777777" w:rsidR="00EE7DCD" w:rsidRDefault="00BA6027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Sexually Transmitted Infection Therapy excluding Neonates</w:t>
      </w:r>
    </w:p>
    <w:p w14:paraId="1A60D024" w14:textId="77777777" w:rsidR="00EE7DCD" w:rsidRDefault="00EE7DCD">
      <w:pPr>
        <w:jc w:val="center"/>
        <w:rPr>
          <w:rFonts w:ascii="Calibri" w:eastAsia="Calibri" w:hAnsi="Calibri" w:cs="Calibri"/>
          <w:b/>
        </w:rPr>
      </w:pPr>
    </w:p>
    <w:p w14:paraId="0F1DA868" w14:textId="77777777" w:rsidR="00EE7DCD" w:rsidRDefault="00BA6027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</w:rPr>
        <w:t>For STI testing guidelines, see page 131</w:t>
      </w:r>
      <w:r>
        <w:rPr>
          <w:rFonts w:ascii="Calibri" w:eastAsia="Calibri" w:hAnsi="Calibri" w:cs="Calibri"/>
          <w:sz w:val="19"/>
          <w:szCs w:val="19"/>
        </w:rPr>
        <w:t xml:space="preserve">   </w:t>
      </w:r>
    </w:p>
    <w:p w14:paraId="7FD26183" w14:textId="77777777" w:rsidR="00EE7DCD" w:rsidRDefault="00BA6027">
      <w:pPr>
        <w:shd w:val="clear" w:color="auto" w:fill="FFFFFF"/>
        <w:spacing w:before="100" w:line="342" w:lineRule="auto"/>
        <w:jc w:val="center"/>
        <w:rPr>
          <w:rFonts w:ascii="Roboto" w:eastAsia="Roboto" w:hAnsi="Roboto" w:cs="Roboto"/>
          <w:b/>
          <w:sz w:val="21"/>
          <w:szCs w:val="21"/>
        </w:rPr>
      </w:pPr>
      <w:r>
        <w:rPr>
          <w:rFonts w:ascii="Roboto" w:eastAsia="Roboto" w:hAnsi="Roboto" w:cs="Roboto"/>
          <w:b/>
          <w:i/>
          <w:sz w:val="21"/>
          <w:szCs w:val="21"/>
        </w:rPr>
        <w:t xml:space="preserve">Recommendations may be different for </w:t>
      </w:r>
      <w:r>
        <w:rPr>
          <w:rFonts w:ascii="Roboto" w:eastAsia="Roboto" w:hAnsi="Roboto" w:cs="Roboto"/>
          <w:b/>
          <w:i/>
          <w:sz w:val="21"/>
          <w:szCs w:val="21"/>
          <w:u w:val="single"/>
        </w:rPr>
        <w:t>patients with HIV</w:t>
      </w:r>
      <w:r>
        <w:rPr>
          <w:rFonts w:ascii="Roboto" w:eastAsia="Roboto" w:hAnsi="Roboto" w:cs="Roboto"/>
          <w:b/>
          <w:i/>
          <w:sz w:val="21"/>
          <w:szCs w:val="21"/>
        </w:rPr>
        <w:t>. Consult Infectious Disease.</w:t>
      </w:r>
    </w:p>
    <w:p w14:paraId="44F3E696" w14:textId="05252399" w:rsidR="00EE7DCD" w:rsidRDefault="00BA6027">
      <w:pPr>
        <w:jc w:val="center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sz w:val="21"/>
          <w:szCs w:val="21"/>
        </w:rPr>
        <w:t xml:space="preserve">Sexually Transmitted </w:t>
      </w:r>
      <w:r w:rsidR="00C13FBC">
        <w:rPr>
          <w:rFonts w:ascii="Calibri" w:eastAsia="Calibri" w:hAnsi="Calibri" w:cs="Calibri"/>
          <w:sz w:val="21"/>
          <w:szCs w:val="21"/>
        </w:rPr>
        <w:t>Infections</w:t>
      </w:r>
      <w:r>
        <w:rPr>
          <w:rFonts w:ascii="Calibri" w:eastAsia="Calibri" w:hAnsi="Calibri" w:cs="Calibri"/>
          <w:sz w:val="21"/>
          <w:szCs w:val="21"/>
        </w:rPr>
        <w:t xml:space="preserve"> Treatment Guidelines, 2021. MMWR 2021; 70 (</w:t>
      </w:r>
      <w:proofErr w:type="gramStart"/>
      <w:r>
        <w:rPr>
          <w:rFonts w:ascii="Calibri" w:eastAsia="Calibri" w:hAnsi="Calibri" w:cs="Calibri"/>
          <w:sz w:val="21"/>
          <w:szCs w:val="21"/>
        </w:rPr>
        <w:t>No.RR</w:t>
      </w:r>
      <w:proofErr w:type="gramEnd"/>
      <w:r>
        <w:rPr>
          <w:rFonts w:ascii="Calibri" w:eastAsia="Calibri" w:hAnsi="Calibri" w:cs="Calibri"/>
          <w:sz w:val="21"/>
          <w:szCs w:val="21"/>
        </w:rPr>
        <w:t>-4)</w:t>
      </w:r>
    </w:p>
    <w:tbl>
      <w:tblPr>
        <w:tblStyle w:val="a"/>
        <w:tblW w:w="14760" w:type="dxa"/>
        <w:tblInd w:w="-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2520"/>
        <w:gridCol w:w="5160"/>
        <w:gridCol w:w="5160"/>
      </w:tblGrid>
      <w:tr w:rsidR="00EE7DCD" w14:paraId="33E46795" w14:textId="77777777">
        <w:tc>
          <w:tcPr>
            <w:tcW w:w="1920" w:type="dxa"/>
            <w:shd w:val="clear" w:color="auto" w:fill="B3B3B3"/>
          </w:tcPr>
          <w:p w14:paraId="5BE1D60B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Disease</w:t>
            </w:r>
          </w:p>
        </w:tc>
        <w:tc>
          <w:tcPr>
            <w:tcW w:w="2520" w:type="dxa"/>
            <w:shd w:val="clear" w:color="auto" w:fill="B3B3B3"/>
            <w:vAlign w:val="center"/>
          </w:tcPr>
          <w:p w14:paraId="01DD3DC4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Classifications</w:t>
            </w:r>
          </w:p>
        </w:tc>
        <w:tc>
          <w:tcPr>
            <w:tcW w:w="5160" w:type="dxa"/>
            <w:shd w:val="clear" w:color="auto" w:fill="B3B3B3"/>
          </w:tcPr>
          <w:p w14:paraId="1F972C8C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Recommended options</w:t>
            </w:r>
          </w:p>
        </w:tc>
        <w:tc>
          <w:tcPr>
            <w:tcW w:w="5160" w:type="dxa"/>
            <w:shd w:val="clear" w:color="auto" w:fill="B3B3B3"/>
          </w:tcPr>
          <w:p w14:paraId="0594AE03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Alternative options</w:t>
            </w:r>
          </w:p>
        </w:tc>
      </w:tr>
      <w:tr w:rsidR="00EE7DCD" w14:paraId="08BF014A" w14:textId="77777777">
        <w:tc>
          <w:tcPr>
            <w:tcW w:w="1920" w:type="dxa"/>
            <w:vAlign w:val="center"/>
          </w:tcPr>
          <w:p w14:paraId="5C668556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Bacterial Vaginosis</w:t>
            </w:r>
          </w:p>
        </w:tc>
        <w:tc>
          <w:tcPr>
            <w:tcW w:w="2520" w:type="dxa"/>
            <w:vAlign w:val="center"/>
          </w:tcPr>
          <w:p w14:paraId="641615A6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All Women </w:t>
            </w:r>
          </w:p>
          <w:p w14:paraId="3E49603D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(Pregnant and Non-Pregnant)</w:t>
            </w:r>
          </w:p>
        </w:tc>
        <w:tc>
          <w:tcPr>
            <w:tcW w:w="5160" w:type="dxa"/>
          </w:tcPr>
          <w:p w14:paraId="1FFDE352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Metronidazole 500 mg BID x 7 days</w:t>
            </w:r>
          </w:p>
          <w:p w14:paraId="6A068E7D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Intravaginal Metronidazole Gel 0.75% 5 g Daily x 5 days</w:t>
            </w:r>
          </w:p>
          <w:p w14:paraId="1895391D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Intravaginal Clindamycin Cream 2% 5 g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QHS  x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7 days</w:t>
            </w:r>
          </w:p>
        </w:tc>
        <w:tc>
          <w:tcPr>
            <w:tcW w:w="5160" w:type="dxa"/>
          </w:tcPr>
          <w:p w14:paraId="2FBCCFFF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Clindamycin 300 mg BID x 7 days</w:t>
            </w:r>
          </w:p>
          <w:p w14:paraId="798447E5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Intravaginal Clindamycin ovules 100 mg QHS x3d</w:t>
            </w:r>
          </w:p>
          <w:p w14:paraId="62C7095C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Tinidazole 1 g Daily x 5 days OR 2 g Daily x 2 days</w:t>
            </w:r>
          </w:p>
        </w:tc>
      </w:tr>
      <w:tr w:rsidR="00EE7DCD" w14:paraId="7E9F79C8" w14:textId="77777777">
        <w:tc>
          <w:tcPr>
            <w:tcW w:w="1920" w:type="dxa"/>
            <w:vAlign w:val="center"/>
          </w:tcPr>
          <w:p w14:paraId="22A138D2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Cervicitis</w:t>
            </w:r>
          </w:p>
        </w:tc>
        <w:tc>
          <w:tcPr>
            <w:tcW w:w="2520" w:type="dxa"/>
            <w:vAlign w:val="center"/>
          </w:tcPr>
          <w:p w14:paraId="1E0D87F7" w14:textId="77777777" w:rsidR="00EE7DCD" w:rsidRDefault="00EE7DCD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5160" w:type="dxa"/>
            <w:vAlign w:val="center"/>
          </w:tcPr>
          <w:p w14:paraId="0825C0A3" w14:textId="77777777" w:rsidR="00EE7DCD" w:rsidRDefault="00BA6027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Doxycycline 100 mg BID x 7 days +/- gonorrhea treatment</w:t>
            </w:r>
          </w:p>
        </w:tc>
        <w:tc>
          <w:tcPr>
            <w:tcW w:w="5160" w:type="dxa"/>
          </w:tcPr>
          <w:p w14:paraId="2B5BDFA5" w14:textId="77777777" w:rsidR="00EE7DCD" w:rsidRDefault="00BA6027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Azithromycin 1 g ONCE</w:t>
            </w:r>
          </w:p>
        </w:tc>
      </w:tr>
      <w:tr w:rsidR="00EE7DCD" w14:paraId="38431D7A" w14:textId="77777777">
        <w:trPr>
          <w:trHeight w:val="200"/>
        </w:trPr>
        <w:tc>
          <w:tcPr>
            <w:tcW w:w="1920" w:type="dxa"/>
            <w:vMerge w:val="restart"/>
            <w:vAlign w:val="center"/>
          </w:tcPr>
          <w:p w14:paraId="470FDA61" w14:textId="77777777" w:rsidR="00EE7DCD" w:rsidRDefault="00EE7DCD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4639844B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Chlamydial Infections</w:t>
            </w:r>
          </w:p>
        </w:tc>
        <w:tc>
          <w:tcPr>
            <w:tcW w:w="2520" w:type="dxa"/>
            <w:vAlign w:val="center"/>
          </w:tcPr>
          <w:p w14:paraId="27950EE9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Infants and Children: urogenital/rectal</w:t>
            </w:r>
          </w:p>
        </w:tc>
        <w:tc>
          <w:tcPr>
            <w:tcW w:w="10320" w:type="dxa"/>
            <w:gridSpan w:val="2"/>
          </w:tcPr>
          <w:p w14:paraId="1C69B612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&lt;45kg: PO Erythromycin base or EES* 50mg/kg/day divided QID x 14 days</w:t>
            </w:r>
          </w:p>
          <w:p w14:paraId="1E7A9793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  <w:u w:val="single"/>
              </w:rPr>
              <w:t>&gt;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45 kg but &lt; 8 years: PO Azithromycin 1 g ONCE </w:t>
            </w:r>
          </w:p>
          <w:p w14:paraId="60159D5F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  <w:u w:val="single"/>
              </w:rPr>
              <w:t>&gt;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8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yrs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: PO Azithromycin 1 g ONCE OR PO Doxycycline 100 mg BID x 7 days</w:t>
            </w:r>
          </w:p>
        </w:tc>
      </w:tr>
      <w:tr w:rsidR="00EE7DCD" w14:paraId="6F06709B" w14:textId="77777777">
        <w:trPr>
          <w:trHeight w:val="200"/>
        </w:trPr>
        <w:tc>
          <w:tcPr>
            <w:tcW w:w="1920" w:type="dxa"/>
            <w:vMerge/>
            <w:vAlign w:val="center"/>
          </w:tcPr>
          <w:p w14:paraId="01CEB49B" w14:textId="77777777" w:rsidR="00EE7DCD" w:rsidRDefault="00EE7DCD">
            <w:pPr>
              <w:jc w:val="center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520" w:type="dxa"/>
            <w:vAlign w:val="center"/>
          </w:tcPr>
          <w:p w14:paraId="71F34545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Adolescents/Adults</w:t>
            </w:r>
          </w:p>
        </w:tc>
        <w:tc>
          <w:tcPr>
            <w:tcW w:w="5160" w:type="dxa"/>
          </w:tcPr>
          <w:p w14:paraId="1CB5534B" w14:textId="77777777" w:rsidR="00EE7DCD" w:rsidRDefault="00BA6027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Doxycycline 100 mg BID x 7 days</w:t>
            </w:r>
          </w:p>
        </w:tc>
        <w:tc>
          <w:tcPr>
            <w:tcW w:w="5160" w:type="dxa"/>
          </w:tcPr>
          <w:p w14:paraId="73492BF3" w14:textId="77777777" w:rsidR="00EE7DCD" w:rsidRDefault="00BA6027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PO Azithromycin 1 g ONCE </w:t>
            </w:r>
          </w:p>
          <w:p w14:paraId="592802F6" w14:textId="77777777" w:rsidR="00EE7DCD" w:rsidRDefault="00BA6027">
            <w:pPr>
              <w:spacing w:line="228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Levofloxacin 500 mg Daily x 7 days</w:t>
            </w:r>
          </w:p>
        </w:tc>
      </w:tr>
      <w:tr w:rsidR="00EE7DCD" w14:paraId="0BE2383B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651AD0F5" w14:textId="77777777" w:rsidR="00EE7DCD" w:rsidRDefault="00E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20" w:type="dxa"/>
            <w:vAlign w:val="center"/>
          </w:tcPr>
          <w:p w14:paraId="50CF4183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Pregnant</w:t>
            </w:r>
          </w:p>
        </w:tc>
        <w:tc>
          <w:tcPr>
            <w:tcW w:w="5160" w:type="dxa"/>
          </w:tcPr>
          <w:p w14:paraId="3A1117C1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Azithromycin 1 g ONCE</w:t>
            </w:r>
          </w:p>
        </w:tc>
        <w:tc>
          <w:tcPr>
            <w:tcW w:w="5160" w:type="dxa"/>
          </w:tcPr>
          <w:p w14:paraId="3CC926CC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Amoxicillin 500 mg TID x 7 days</w:t>
            </w:r>
          </w:p>
        </w:tc>
      </w:tr>
      <w:tr w:rsidR="00EE7DCD" w14:paraId="690C8614" w14:textId="77777777">
        <w:tc>
          <w:tcPr>
            <w:tcW w:w="1920" w:type="dxa"/>
            <w:vAlign w:val="center"/>
          </w:tcPr>
          <w:p w14:paraId="0093D3EE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Epididymitis</w:t>
            </w:r>
          </w:p>
        </w:tc>
        <w:tc>
          <w:tcPr>
            <w:tcW w:w="2520" w:type="dxa"/>
            <w:vAlign w:val="center"/>
          </w:tcPr>
          <w:p w14:paraId="4235F02F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Adolescents/Adults</w:t>
            </w:r>
          </w:p>
          <w:p w14:paraId="2A4C00AF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Caused by gonorrhea or chlamydia</w:t>
            </w:r>
          </w:p>
        </w:tc>
        <w:tc>
          <w:tcPr>
            <w:tcW w:w="5160" w:type="dxa"/>
          </w:tcPr>
          <w:p w14:paraId="40C31510" w14:textId="01DD9750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IM Ceftriaxone 500 mg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ONCE  (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1 g if </w:t>
            </w:r>
            <w:r w:rsidRPr="00401B0A">
              <w:rPr>
                <w:rFonts w:ascii="Calibri" w:eastAsia="Calibri" w:hAnsi="Calibri" w:cs="Calibri"/>
                <w:sz w:val="19"/>
                <w:szCs w:val="19"/>
                <w:u w:val="single"/>
              </w:rPr>
              <w:t>&gt;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150 kg) +</w:t>
            </w:r>
            <w:r>
              <w:rPr>
                <w:rFonts w:ascii="Calibri" w:eastAsia="Calibri" w:hAnsi="Calibri" w:cs="Calibri"/>
                <w:b/>
                <w:i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PO Doxycycline 100 mg BID x 10 days</w:t>
            </w:r>
          </w:p>
          <w:p w14:paraId="170BD856" w14:textId="7305F5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OR IM Ceftriaxone 500 mg ONCE (1 g if </w:t>
            </w:r>
            <w:r w:rsidRPr="00401B0A">
              <w:rPr>
                <w:rFonts w:ascii="Calibri" w:eastAsia="Calibri" w:hAnsi="Calibri" w:cs="Calibri"/>
                <w:sz w:val="19"/>
                <w:szCs w:val="19"/>
                <w:u w:val="single"/>
              </w:rPr>
              <w:t>&gt;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150 kg) + PO Levofloxacin 500 mg Daily x 10 days (</w:t>
            </w:r>
            <w:r>
              <w:rPr>
                <w:rFonts w:ascii="Calibri" w:eastAsia="Calibri" w:hAnsi="Calibri" w:cs="Calibri"/>
                <w:i/>
                <w:sz w:val="19"/>
                <w:szCs w:val="19"/>
              </w:rPr>
              <w:t>Also if caused by enteric infection</w:t>
            </w:r>
            <w:r w:rsidR="00850CD3"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, </w:t>
            </w:r>
            <w:proofErr w:type="spellStart"/>
            <w:proofErr w:type="gramStart"/>
            <w:r w:rsidR="00850CD3">
              <w:rPr>
                <w:rFonts w:ascii="Calibri" w:eastAsia="Calibri" w:hAnsi="Calibri" w:cs="Calibri"/>
                <w:i/>
                <w:sz w:val="19"/>
                <w:szCs w:val="19"/>
              </w:rPr>
              <w:t>ie</w:t>
            </w:r>
            <w:proofErr w:type="spellEnd"/>
            <w:proofErr w:type="gramEnd"/>
            <w:r w:rsidR="00850CD3"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 </w:t>
            </w:r>
            <w:proofErr w:type="spellStart"/>
            <w:r w:rsidR="00850CD3">
              <w:rPr>
                <w:rFonts w:ascii="Calibri" w:eastAsia="Calibri" w:hAnsi="Calibri" w:cs="Calibri"/>
                <w:i/>
                <w:sz w:val="19"/>
                <w:szCs w:val="19"/>
              </w:rPr>
              <w:t>Insertive</w:t>
            </w:r>
            <w:proofErr w:type="spellEnd"/>
            <w:r w:rsidR="00850CD3"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 anal sex)</w:t>
            </w:r>
            <w:r>
              <w:rPr>
                <w:rFonts w:ascii="Calibri" w:eastAsia="Calibri" w:hAnsi="Calibri" w:cs="Calibri"/>
                <w:i/>
                <w:sz w:val="19"/>
                <w:szCs w:val="19"/>
              </w:rPr>
              <w:t>)</w:t>
            </w:r>
          </w:p>
        </w:tc>
        <w:tc>
          <w:tcPr>
            <w:tcW w:w="5160" w:type="dxa"/>
          </w:tcPr>
          <w:p w14:paraId="3C7726B2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sz w:val="19"/>
                <w:szCs w:val="19"/>
              </w:rPr>
              <w:t>For Enteric Only: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PO Levofloxacin 500 mg Daily x 10 days</w:t>
            </w:r>
          </w:p>
          <w:p w14:paraId="42145122" w14:textId="77777777" w:rsidR="00EE7DCD" w:rsidRDefault="00EE7DCD">
            <w:pPr>
              <w:rPr>
                <w:rFonts w:ascii="Calibri" w:eastAsia="Calibri" w:hAnsi="Calibri" w:cs="Calibri"/>
                <w:i/>
                <w:sz w:val="19"/>
                <w:szCs w:val="19"/>
              </w:rPr>
            </w:pPr>
          </w:p>
          <w:p w14:paraId="2079505B" w14:textId="77777777" w:rsidR="00EE7DCD" w:rsidRDefault="00EE7DCD">
            <w:pP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</w:tr>
      <w:tr w:rsidR="00EE7DCD" w14:paraId="49EEA669" w14:textId="77777777">
        <w:trPr>
          <w:trHeight w:val="200"/>
        </w:trPr>
        <w:tc>
          <w:tcPr>
            <w:tcW w:w="1920" w:type="dxa"/>
            <w:vMerge w:val="restart"/>
            <w:vAlign w:val="center"/>
          </w:tcPr>
          <w:p w14:paraId="208090FF" w14:textId="522E1166" w:rsidR="00EE7DCD" w:rsidRDefault="00BA602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Genital Herpes Simplex</w:t>
            </w:r>
          </w:p>
        </w:tc>
        <w:tc>
          <w:tcPr>
            <w:tcW w:w="2520" w:type="dxa"/>
            <w:vAlign w:val="center"/>
          </w:tcPr>
          <w:p w14:paraId="7F475768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First episode of genital herpes</w:t>
            </w:r>
          </w:p>
        </w:tc>
        <w:tc>
          <w:tcPr>
            <w:tcW w:w="10320" w:type="dxa"/>
            <w:gridSpan w:val="2"/>
          </w:tcPr>
          <w:p w14:paraId="6EF129A3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Valacyclovir 1 g BID x 7-10 days</w:t>
            </w:r>
          </w:p>
          <w:p w14:paraId="34D751F8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Acyclovir 400 mg TID x 7-10 days</w:t>
            </w:r>
          </w:p>
          <w:p w14:paraId="43706565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Famciclovir 250 mg TID x 7-10 days</w:t>
            </w:r>
          </w:p>
        </w:tc>
      </w:tr>
      <w:tr w:rsidR="00EE7DCD" w14:paraId="2C152BDB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6372F85D" w14:textId="77777777" w:rsidR="00EE7DCD" w:rsidRDefault="00E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20" w:type="dxa"/>
            <w:vAlign w:val="center"/>
          </w:tcPr>
          <w:p w14:paraId="4CAEE90B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Episodic therapy for recurrent genital herpes</w:t>
            </w:r>
          </w:p>
        </w:tc>
        <w:tc>
          <w:tcPr>
            <w:tcW w:w="10320" w:type="dxa"/>
            <w:gridSpan w:val="2"/>
          </w:tcPr>
          <w:p w14:paraId="6D2F1BFE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Valacyclovir 500 mg BID x 3 days OR 1 g Daily x 5 days</w:t>
            </w:r>
          </w:p>
          <w:p w14:paraId="4351C6AD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Acyclovir 400 mg TID x 5 days OR 800 mg BID x 5 days OR 800 mg TID x 2 days</w:t>
            </w:r>
          </w:p>
          <w:p w14:paraId="333FA7CD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Famciclovir 125 mg BID x 5 days OR 1 g BID x 1 day OR 500 mg ONCE then 250 mg BID x 2 days</w:t>
            </w:r>
          </w:p>
        </w:tc>
      </w:tr>
      <w:tr w:rsidR="00EE7DCD" w14:paraId="50642125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434035DE" w14:textId="77777777" w:rsidR="00EE7DCD" w:rsidRDefault="00E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20" w:type="dxa"/>
            <w:vAlign w:val="center"/>
          </w:tcPr>
          <w:p w14:paraId="115F602A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Suppressive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rx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for recurrent disease</w:t>
            </w:r>
          </w:p>
        </w:tc>
        <w:tc>
          <w:tcPr>
            <w:tcW w:w="10320" w:type="dxa"/>
            <w:gridSpan w:val="2"/>
          </w:tcPr>
          <w:p w14:paraId="12F8EEEC" w14:textId="62A5D048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PO Valacyclovir 500 mg Daily or 1 g Daily (For </w:t>
            </w:r>
            <w:r w:rsidR="00850CD3">
              <w:rPr>
                <w:rFonts w:ascii="Calibri" w:eastAsia="Calibri" w:hAnsi="Calibri" w:cs="Calibri"/>
                <w:sz w:val="19"/>
                <w:szCs w:val="19"/>
              </w:rPr>
              <w:t xml:space="preserve">frequent recurrence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&gt;10 episodes/year</w:t>
            </w:r>
            <w:r w:rsidR="00850CD3">
              <w:rPr>
                <w:rFonts w:ascii="Calibri" w:eastAsia="Calibri" w:hAnsi="Calibri" w:cs="Calibri"/>
                <w:sz w:val="19"/>
                <w:szCs w:val="19"/>
              </w:rPr>
              <w:t>; also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refer to guidelines)</w:t>
            </w:r>
          </w:p>
          <w:p w14:paraId="72F28808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Acyclovir 400 mg BID</w:t>
            </w:r>
          </w:p>
          <w:p w14:paraId="5D5992DD" w14:textId="77777777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PO Famciclovir 250 mg BID</w:t>
            </w:r>
          </w:p>
        </w:tc>
      </w:tr>
      <w:tr w:rsidR="00EE7DCD" w14:paraId="0AF13597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2C5861C2" w14:textId="77777777" w:rsidR="00EE7DCD" w:rsidRDefault="00E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20" w:type="dxa"/>
            <w:vAlign w:val="center"/>
          </w:tcPr>
          <w:p w14:paraId="55AB16BB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Pregnancy - suppression of recurrent genital herpes</w:t>
            </w:r>
          </w:p>
        </w:tc>
        <w:tc>
          <w:tcPr>
            <w:tcW w:w="10320" w:type="dxa"/>
            <w:gridSpan w:val="2"/>
          </w:tcPr>
          <w:p w14:paraId="1F93FA2C" w14:textId="4C5E4ACC" w:rsidR="00EE7DCD" w:rsidRDefault="00BA6027">
            <w:pPr>
              <w:spacing w:line="216" w:lineRule="auto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Refer to MMWR </w:t>
            </w:r>
            <w:r w:rsidR="00C13FBC"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CDC STI Treatment Guidelines </w:t>
            </w:r>
            <w:r>
              <w:rPr>
                <w:rFonts w:ascii="Calibri" w:eastAsia="Calibri" w:hAnsi="Calibri" w:cs="Calibri"/>
                <w:i/>
                <w:sz w:val="19"/>
                <w:szCs w:val="19"/>
              </w:rPr>
              <w:t>2021</w:t>
            </w:r>
          </w:p>
        </w:tc>
      </w:tr>
      <w:tr w:rsidR="00EE7DCD" w14:paraId="28434E4A" w14:textId="77777777">
        <w:tc>
          <w:tcPr>
            <w:tcW w:w="1920" w:type="dxa"/>
            <w:vAlign w:val="center"/>
          </w:tcPr>
          <w:p w14:paraId="62A19FE5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Genital warts</w:t>
            </w:r>
          </w:p>
        </w:tc>
        <w:tc>
          <w:tcPr>
            <w:tcW w:w="2520" w:type="dxa"/>
            <w:vAlign w:val="center"/>
          </w:tcPr>
          <w:p w14:paraId="6D7FFD50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External genital and perianal warts</w:t>
            </w:r>
          </w:p>
        </w:tc>
        <w:tc>
          <w:tcPr>
            <w:tcW w:w="10320" w:type="dxa"/>
            <w:gridSpan w:val="2"/>
          </w:tcPr>
          <w:p w14:paraId="6225E032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Topical Podofilox 0.5% solution/gel BID x 3 days, hold for 4 days. Repeat to 4 cycles max.</w:t>
            </w:r>
          </w:p>
          <w:p w14:paraId="6216BB00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Topical Imiquimod 5% cream HS 3 times per week for &lt;16 weeks, wash off with soap and water 6-10 hours after application</w:t>
            </w:r>
          </w:p>
          <w:p w14:paraId="1D10CADD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Topical Imiquimod 3.75% cream QHS for &lt;8 weeks, wash off with soap and water 6-10 hours after application</w:t>
            </w:r>
          </w:p>
        </w:tc>
      </w:tr>
      <w:tr w:rsidR="00EE7DCD" w14:paraId="4C8E593A" w14:textId="77777777">
        <w:trPr>
          <w:trHeight w:val="200"/>
        </w:trPr>
        <w:tc>
          <w:tcPr>
            <w:tcW w:w="1920" w:type="dxa"/>
            <w:vMerge w:val="restart"/>
            <w:vAlign w:val="center"/>
          </w:tcPr>
          <w:p w14:paraId="391F23BB" w14:textId="77777777" w:rsidR="00EE7DCD" w:rsidRDefault="00EE7DCD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7AAA9545" w14:textId="77777777" w:rsidR="00EE7DCD" w:rsidRDefault="00BA6027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N. gonorrhoeae infections**</w:t>
            </w:r>
          </w:p>
        </w:tc>
        <w:tc>
          <w:tcPr>
            <w:tcW w:w="2520" w:type="dxa"/>
            <w:vAlign w:val="center"/>
          </w:tcPr>
          <w:p w14:paraId="7D2D7E2F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Infants/Children &lt;45 kg: </w:t>
            </w:r>
          </w:p>
        </w:tc>
        <w:tc>
          <w:tcPr>
            <w:tcW w:w="10320" w:type="dxa"/>
            <w:gridSpan w:val="2"/>
          </w:tcPr>
          <w:p w14:paraId="554ED6AC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IV/IM Ceftriaxone 25-50 mg/kg ONCE. Max 250 mg. (Vulvovaginitis, Cervicitis, Urethritis, Pharyngitis)</w:t>
            </w:r>
          </w:p>
        </w:tc>
      </w:tr>
      <w:tr w:rsidR="00EE7DCD" w14:paraId="61A9805E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0C01F09F" w14:textId="77777777" w:rsidR="00EE7DCD" w:rsidRDefault="00E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20" w:type="dxa"/>
            <w:vAlign w:val="center"/>
          </w:tcPr>
          <w:p w14:paraId="4178C27A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Adolescent/Adult: Pharynx</w:t>
            </w:r>
          </w:p>
        </w:tc>
        <w:tc>
          <w:tcPr>
            <w:tcW w:w="10320" w:type="dxa"/>
            <w:gridSpan w:val="2"/>
          </w:tcPr>
          <w:p w14:paraId="50C99D6F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IM Ceftriaxone 500 mg ONCE (1 g if </w:t>
            </w:r>
            <w:r w:rsidRPr="00401B0A">
              <w:rPr>
                <w:rFonts w:ascii="Calibri" w:eastAsia="Calibri" w:hAnsi="Calibri" w:cs="Calibri"/>
                <w:sz w:val="19"/>
                <w:szCs w:val="19"/>
                <w:u w:val="single"/>
              </w:rPr>
              <w:t>&gt;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150 kg) </w:t>
            </w:r>
          </w:p>
        </w:tc>
      </w:tr>
      <w:tr w:rsidR="00EE7DCD" w14:paraId="53351F76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3EAE7635" w14:textId="77777777" w:rsidR="00EE7DCD" w:rsidRDefault="00E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20" w:type="dxa"/>
            <w:vAlign w:val="center"/>
          </w:tcPr>
          <w:p w14:paraId="45F9A3D9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Adolescent/Adult:</w:t>
            </w:r>
          </w:p>
          <w:p w14:paraId="150F9872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Cervix, Urethra, Rectum</w:t>
            </w:r>
          </w:p>
        </w:tc>
        <w:tc>
          <w:tcPr>
            <w:tcW w:w="10320" w:type="dxa"/>
            <w:gridSpan w:val="2"/>
          </w:tcPr>
          <w:p w14:paraId="12581460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IM Ceftriaxone 500 mg ONCE (1 g if </w:t>
            </w:r>
            <w:r w:rsidRPr="00401B0A">
              <w:rPr>
                <w:rFonts w:ascii="Calibri" w:eastAsia="Calibri" w:hAnsi="Calibri" w:cs="Calibri"/>
                <w:sz w:val="19"/>
                <w:szCs w:val="19"/>
                <w:u w:val="single"/>
              </w:rPr>
              <w:t>&gt;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150 kg) </w:t>
            </w:r>
          </w:p>
          <w:p w14:paraId="58125AE0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[+ PO Doxycycline 100 mg BID x 7 days </w:t>
            </w:r>
            <w:r>
              <w:rPr>
                <w:rFonts w:ascii="Calibri" w:eastAsia="Calibri" w:hAnsi="Calibri" w:cs="Calibri"/>
                <w:i/>
                <w:sz w:val="19"/>
                <w:szCs w:val="19"/>
              </w:rPr>
              <w:t xml:space="preserve">IF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chlamydia has not been excluded]</w:t>
            </w:r>
          </w:p>
        </w:tc>
      </w:tr>
      <w:tr w:rsidR="00EE7DCD" w14:paraId="1EAB86AC" w14:textId="77777777">
        <w:trPr>
          <w:trHeight w:val="190"/>
        </w:trPr>
        <w:tc>
          <w:tcPr>
            <w:tcW w:w="1920" w:type="dxa"/>
            <w:vMerge/>
            <w:vAlign w:val="center"/>
          </w:tcPr>
          <w:p w14:paraId="3804D4C6" w14:textId="77777777" w:rsidR="00EE7DCD" w:rsidRDefault="00E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2520" w:type="dxa"/>
            <w:vAlign w:val="center"/>
          </w:tcPr>
          <w:p w14:paraId="2C6380C7" w14:textId="77777777" w:rsidR="00EE7DCD" w:rsidRDefault="00BA6027">
            <w:pPr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Adolescent/Adult: conjunctivitis</w:t>
            </w:r>
          </w:p>
        </w:tc>
        <w:tc>
          <w:tcPr>
            <w:tcW w:w="10320" w:type="dxa"/>
            <w:gridSpan w:val="2"/>
          </w:tcPr>
          <w:p w14:paraId="00502BC3" w14:textId="77777777" w:rsidR="00EE7DCD" w:rsidRDefault="00BA6027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IM Ceftriaxone 1 g ONCE + consider one-time lavage of infected eye with saline solution</w:t>
            </w:r>
          </w:p>
        </w:tc>
      </w:tr>
    </w:tbl>
    <w:p w14:paraId="355A3C1E" w14:textId="77777777" w:rsidR="00EE7DCD" w:rsidRDefault="00BA6027">
      <w:pPr>
        <w:jc w:val="right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*EES = Erythromycin Ethyl succinate               </w:t>
      </w:r>
    </w:p>
    <w:p w14:paraId="61C125A3" w14:textId="77777777" w:rsidR="00EE7DCD" w:rsidRDefault="00BA6027">
      <w:pPr>
        <w:jc w:val="right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**</w:t>
      </w:r>
      <w:r>
        <w:rPr>
          <w:rFonts w:ascii="Calibri" w:eastAsia="Calibri" w:hAnsi="Calibri" w:cs="Calibri"/>
          <w:b/>
          <w:sz w:val="19"/>
          <w:szCs w:val="19"/>
        </w:rPr>
        <w:t>Fluoroquinolones and Oral Cephalosporins are not recommended by CDC due to widespread gonococcal resistance. Doxycycline is no longer recommended.</w:t>
      </w:r>
    </w:p>
    <w:sectPr w:rsidR="00EE7DCD">
      <w:pgSz w:w="15840" w:h="12240" w:orient="landscape"/>
      <w:pgMar w:top="576" w:right="1152" w:bottom="360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DCD"/>
    <w:rsid w:val="00401B0A"/>
    <w:rsid w:val="00850CD3"/>
    <w:rsid w:val="00BA6027"/>
    <w:rsid w:val="00C13FBC"/>
    <w:rsid w:val="00D40E68"/>
    <w:rsid w:val="00EE7DCD"/>
    <w:rsid w:val="00F3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E4F4"/>
  <w15:docId w15:val="{8E56082D-DC5E-4FC1-B973-661DF337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Arial Narrow" w:hAnsi="Arial Narrow" w:cs="Arial Narro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05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C76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B0A76"/>
    <w:rPr>
      <w:color w:val="0000FF"/>
      <w:u w:val="single"/>
    </w:rPr>
  </w:style>
  <w:style w:type="paragraph" w:styleId="BalloonText">
    <w:name w:val="Balloon Text"/>
    <w:basedOn w:val="Normal"/>
    <w:semiHidden/>
    <w:rsid w:val="006865F1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466F91"/>
    <w:rPr>
      <w:color w:val="800080"/>
      <w:u w:val="single"/>
    </w:rPr>
  </w:style>
  <w:style w:type="paragraph" w:styleId="DocumentMap">
    <w:name w:val="Document Map"/>
    <w:basedOn w:val="Normal"/>
    <w:semiHidden/>
    <w:rsid w:val="00466F91"/>
    <w:pPr>
      <w:shd w:val="clear" w:color="auto" w:fill="000080"/>
    </w:pPr>
    <w:rPr>
      <w:rFonts w:ascii="Tahoma" w:hAnsi="Tahoma" w:cs="Tahoma"/>
    </w:rPr>
  </w:style>
  <w:style w:type="paragraph" w:customStyle="1" w:styleId="LightList-Accent31">
    <w:name w:val="Light List - Accent 31"/>
    <w:hidden/>
    <w:semiHidden/>
    <w:rsid w:val="00CC3E4B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850CD3"/>
  </w:style>
  <w:style w:type="character" w:styleId="CommentReference">
    <w:name w:val="annotation reference"/>
    <w:basedOn w:val="DefaultParagraphFont"/>
    <w:uiPriority w:val="99"/>
    <w:semiHidden/>
    <w:unhideWhenUsed/>
    <w:rsid w:val="00850C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0CD3"/>
  </w:style>
  <w:style w:type="character" w:customStyle="1" w:styleId="CommentTextChar">
    <w:name w:val="Comment Text Char"/>
    <w:basedOn w:val="DefaultParagraphFont"/>
    <w:link w:val="CommentText"/>
    <w:uiPriority w:val="99"/>
    <w:rsid w:val="00850CD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0C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0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4lZuZ1jGs107jejx9ukDjly7RHA==">AMUW2mUsgX6BNd4pdHHXq0riTYwFjopfKK/2iM0BxyLfdVs4ipxKkemaZfjsz5AvEK7g2QJCqP7k6D3WWyT8Sz+MbEN0uZ6uD9SKRFP0LWtqsdt4dbKhEkw=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3882F75-F0E9-46CF-9186-50C805C94548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3.xml><?xml version="1.0" encoding="utf-8"?>
<ds:datastoreItem xmlns:ds="http://schemas.openxmlformats.org/officeDocument/2006/customXml" ds:itemID="{66595CAA-3152-480C-B4A2-815D78F8C6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A351B7-FBD0-4D5F-AD8D-51AE7D2AD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Cincinnati Children's Hospital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Courter, Josh (He/Him/His)</cp:lastModifiedBy>
  <cp:revision>3</cp:revision>
  <dcterms:created xsi:type="dcterms:W3CDTF">2022-08-26T18:03:00Z</dcterms:created>
  <dcterms:modified xsi:type="dcterms:W3CDTF">2024-12-18T14:35:00Z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