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521" w:rsidRDefault="00527521">
      <w:r>
        <w:rPr>
          <w:noProof/>
        </w:rPr>
        <w:drawing>
          <wp:inline distT="0" distB="0" distL="0" distR="0">
            <wp:extent cx="5943600"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pag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inline>
        </w:drawing>
      </w:r>
    </w:p>
    <w:p w:rsidR="009B6463" w:rsidRDefault="00704044" w:rsidP="00527521">
      <w:pPr>
        <w:tabs>
          <w:tab w:val="left" w:pos="1560"/>
        </w:tabs>
      </w:pPr>
    </w:p>
    <w:p w:rsidR="00527521" w:rsidRDefault="00527521" w:rsidP="00527521">
      <w:pPr>
        <w:tabs>
          <w:tab w:val="left" w:pos="1560"/>
        </w:tabs>
      </w:pP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Climate Change Data Visualization Report</w:t>
      </w:r>
    </w:p>
    <w:p w:rsidR="00527521" w:rsidRPr="00527521" w:rsidRDefault="00527521" w:rsidP="00527521">
      <w:pPr>
        <w:spacing w:before="100" w:beforeAutospacing="1" w:after="100" w:afterAutospacing="1" w:line="240" w:lineRule="auto"/>
        <w:outlineLvl w:val="3"/>
        <w:rPr>
          <w:rFonts w:ascii="Times New Roman" w:eastAsia="Times New Roman" w:hAnsi="Times New Roman" w:cs="Times New Roman"/>
          <w:b/>
          <w:bCs/>
          <w:sz w:val="24"/>
          <w:szCs w:val="24"/>
        </w:rPr>
      </w:pPr>
      <w:r w:rsidRPr="00527521">
        <w:rPr>
          <w:rFonts w:ascii="Times New Roman" w:eastAsia="Times New Roman" w:hAnsi="Times New Roman" w:cs="Times New Roman"/>
          <w:b/>
          <w:bCs/>
          <w:sz w:val="24"/>
          <w:szCs w:val="24"/>
        </w:rPr>
        <w:t>Project Overview</w:t>
      </w: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This project focuses on visualizing climate change data across different countries and regions. Using </w:t>
      </w:r>
      <w:r w:rsidRPr="00527521">
        <w:rPr>
          <w:rFonts w:ascii="Times New Roman" w:eastAsia="Times New Roman" w:hAnsi="Times New Roman" w:cs="Times New Roman"/>
          <w:b/>
          <w:bCs/>
          <w:sz w:val="24"/>
          <w:szCs w:val="24"/>
        </w:rPr>
        <w:t>Power BI</w:t>
      </w:r>
      <w:r w:rsidRPr="00527521">
        <w:rPr>
          <w:rFonts w:ascii="Times New Roman" w:eastAsia="Times New Roman" w:hAnsi="Times New Roman" w:cs="Times New Roman"/>
          <w:sz w:val="24"/>
          <w:szCs w:val="24"/>
        </w:rPr>
        <w:t>, I explored key environmental factors such as pesticide use, economic impact by crop type, fertilizer use, and soil health, providing insights into the relationship between agricultural practices and climate change.</w:t>
      </w:r>
    </w:p>
    <w:p w:rsidR="00527521" w:rsidRPr="00527521" w:rsidRDefault="00527521" w:rsidP="00527521">
      <w:pPr>
        <w:spacing w:before="100" w:beforeAutospacing="1" w:after="100" w:afterAutospacing="1" w:line="240" w:lineRule="auto"/>
        <w:outlineLvl w:val="3"/>
        <w:rPr>
          <w:rFonts w:ascii="Times New Roman" w:eastAsia="Times New Roman" w:hAnsi="Times New Roman" w:cs="Times New Roman"/>
          <w:b/>
          <w:bCs/>
          <w:sz w:val="24"/>
          <w:szCs w:val="24"/>
        </w:rPr>
      </w:pPr>
      <w:r w:rsidRPr="00527521">
        <w:rPr>
          <w:rFonts w:ascii="Times New Roman" w:eastAsia="Times New Roman" w:hAnsi="Times New Roman" w:cs="Times New Roman"/>
          <w:b/>
          <w:bCs/>
          <w:sz w:val="24"/>
          <w:szCs w:val="24"/>
        </w:rPr>
        <w:t>Objective</w:t>
      </w: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The goal of this project is to leverage data visualization techniques to better understand climate-related issues, particularly in agriculture, and to highlight the global effects of climate change. By analyzing various metrics, the project provides insights into areas that can be improved to foster sustainability.</w:t>
      </w:r>
    </w:p>
    <w:p w:rsidR="00527521" w:rsidRDefault="00527521" w:rsidP="00527521">
      <w:pPr>
        <w:spacing w:after="0"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pict>
          <v:rect id="_x0000_i1025" style="width:0;height:1.5pt" o:hralign="center" o:hrstd="t" o:hr="t" fillcolor="#a0a0a0" stroked="f"/>
        </w:pict>
      </w:r>
    </w:p>
    <w:p w:rsidR="00527521" w:rsidRDefault="00527521" w:rsidP="00527521">
      <w:pPr>
        <w:spacing w:after="0" w:line="240" w:lineRule="auto"/>
        <w:rPr>
          <w:rFonts w:ascii="Times New Roman" w:eastAsia="Times New Roman" w:hAnsi="Times New Roman" w:cs="Times New Roman"/>
          <w:sz w:val="24"/>
          <w:szCs w:val="24"/>
        </w:rPr>
      </w:pPr>
    </w:p>
    <w:p w:rsidR="00527521" w:rsidRDefault="00527521" w:rsidP="00527521">
      <w:pPr>
        <w:spacing w:after="0" w:line="240" w:lineRule="auto"/>
        <w:rPr>
          <w:rFonts w:ascii="Times New Roman" w:eastAsia="Times New Roman" w:hAnsi="Times New Roman" w:cs="Times New Roman"/>
          <w:sz w:val="24"/>
          <w:szCs w:val="24"/>
        </w:rPr>
      </w:pPr>
    </w:p>
    <w:p w:rsidR="00527521" w:rsidRDefault="00527521" w:rsidP="00527521">
      <w:pPr>
        <w:spacing w:after="0" w:line="240" w:lineRule="auto"/>
        <w:rPr>
          <w:rFonts w:ascii="Times New Roman" w:eastAsia="Times New Roman" w:hAnsi="Times New Roman" w:cs="Times New Roman"/>
          <w:sz w:val="24"/>
          <w:szCs w:val="24"/>
        </w:rPr>
      </w:pPr>
    </w:p>
    <w:p w:rsidR="00527521" w:rsidRPr="00527521" w:rsidRDefault="00527521" w:rsidP="00527521">
      <w:pPr>
        <w:spacing w:after="0" w:line="240" w:lineRule="auto"/>
        <w:rPr>
          <w:rFonts w:ascii="Times New Roman" w:eastAsia="Times New Roman" w:hAnsi="Times New Roman" w:cs="Times New Roman"/>
          <w:sz w:val="24"/>
          <w:szCs w:val="24"/>
        </w:rPr>
      </w:pP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lastRenderedPageBreak/>
        <w:t>Data Insights</w:t>
      </w:r>
    </w:p>
    <w:p w:rsidR="00527521" w:rsidRPr="00527521" w:rsidRDefault="00527521" w:rsidP="005275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Pesticide Use (KG per Hectare) by Country</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Visualizing pesticide use helps identify the countries with the highest agricultural intensity.</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Top Countries</w:t>
      </w:r>
      <w:r w:rsidRPr="00527521">
        <w:rPr>
          <w:rFonts w:ascii="Times New Roman" w:eastAsia="Times New Roman" w:hAnsi="Times New Roman" w:cs="Times New Roman"/>
          <w:sz w:val="24"/>
          <w:szCs w:val="24"/>
        </w:rPr>
        <w:t>: China, India, USA, Nigeria, Australia.</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Key Insight</w:t>
      </w:r>
      <w:r w:rsidRPr="00527521">
        <w:rPr>
          <w:rFonts w:ascii="Times New Roman" w:eastAsia="Times New Roman" w:hAnsi="Times New Roman" w:cs="Times New Roman"/>
          <w:sz w:val="24"/>
          <w:szCs w:val="24"/>
        </w:rPr>
        <w:t>: Countries with large-scale agriculture and high population densities tend to have higher pesticide use.</w:t>
      </w:r>
    </w:p>
    <w:p w:rsidR="00527521" w:rsidRPr="00527521" w:rsidRDefault="00527521" w:rsidP="005275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Economic Impact by Crop Type (Million USD)</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This section shows the economic impact of different crop types, highlighting how certain crops contribute more to the economy.</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Top Crops</w:t>
      </w:r>
      <w:r w:rsidRPr="00527521">
        <w:rPr>
          <w:rFonts w:ascii="Times New Roman" w:eastAsia="Times New Roman" w:hAnsi="Times New Roman" w:cs="Times New Roman"/>
          <w:sz w:val="24"/>
          <w:szCs w:val="24"/>
        </w:rPr>
        <w:t>: Wheat, Sugarcane, Rice, Corn.</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Key Insight</w:t>
      </w:r>
      <w:r w:rsidRPr="00527521">
        <w:rPr>
          <w:rFonts w:ascii="Times New Roman" w:eastAsia="Times New Roman" w:hAnsi="Times New Roman" w:cs="Times New Roman"/>
          <w:sz w:val="24"/>
          <w:szCs w:val="24"/>
        </w:rPr>
        <w:t>: Major global crops like wheat and rice are crucial for economic sustainability and are highly impacted by climate change.</w:t>
      </w:r>
    </w:p>
    <w:p w:rsidR="00527521" w:rsidRPr="00527521" w:rsidRDefault="00527521" w:rsidP="005275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Fertilizer Use (KG per Hectare) by Region</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Fertilizer usage data shows regional differences in agricultural intensity and sustainability.</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Regions Analyzed</w:t>
      </w:r>
      <w:r w:rsidRPr="00527521">
        <w:rPr>
          <w:rFonts w:ascii="Times New Roman" w:eastAsia="Times New Roman" w:hAnsi="Times New Roman" w:cs="Times New Roman"/>
          <w:sz w:val="24"/>
          <w:szCs w:val="24"/>
        </w:rPr>
        <w:t xml:space="preserve">: North Central, Victoria, Ontario, Siberia, </w:t>
      </w:r>
      <w:proofErr w:type="gramStart"/>
      <w:r w:rsidRPr="00527521">
        <w:rPr>
          <w:rFonts w:ascii="Times New Roman" w:eastAsia="Times New Roman" w:hAnsi="Times New Roman" w:cs="Times New Roman"/>
          <w:sz w:val="24"/>
          <w:szCs w:val="24"/>
        </w:rPr>
        <w:t>Punjab</w:t>
      </w:r>
      <w:proofErr w:type="gramEnd"/>
      <w:r w:rsidRPr="00527521">
        <w:rPr>
          <w:rFonts w:ascii="Times New Roman" w:eastAsia="Times New Roman" w:hAnsi="Times New Roman" w:cs="Times New Roman"/>
          <w:sz w:val="24"/>
          <w:szCs w:val="24"/>
        </w:rPr>
        <w:t>.</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Key Insight</w:t>
      </w:r>
      <w:r w:rsidRPr="00527521">
        <w:rPr>
          <w:rFonts w:ascii="Times New Roman" w:eastAsia="Times New Roman" w:hAnsi="Times New Roman" w:cs="Times New Roman"/>
          <w:sz w:val="24"/>
          <w:szCs w:val="24"/>
        </w:rPr>
        <w:t>: Agricultural regions with intensive practices tend to have higher fertilizer use, impacting soil health and contributing to climate concerns.</w:t>
      </w:r>
    </w:p>
    <w:p w:rsidR="00527521" w:rsidRPr="00527521" w:rsidRDefault="00527521" w:rsidP="005275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Soil Health Index by Region</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This metric assesses the condition of soil health in different regions, a critical component of sustainable agriculture.</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Regions</w:t>
      </w:r>
      <w:r w:rsidRPr="00527521">
        <w:rPr>
          <w:rFonts w:ascii="Times New Roman" w:eastAsia="Times New Roman" w:hAnsi="Times New Roman" w:cs="Times New Roman"/>
          <w:sz w:val="24"/>
          <w:szCs w:val="24"/>
        </w:rPr>
        <w:t>: Ile-de-France, British Columbia, Pampas, Provence-</w:t>
      </w:r>
      <w:proofErr w:type="spellStart"/>
      <w:r w:rsidRPr="00527521">
        <w:rPr>
          <w:rFonts w:ascii="Times New Roman" w:eastAsia="Times New Roman" w:hAnsi="Times New Roman" w:cs="Times New Roman"/>
          <w:sz w:val="24"/>
          <w:szCs w:val="24"/>
        </w:rPr>
        <w:t>Alpes</w:t>
      </w:r>
      <w:proofErr w:type="spellEnd"/>
      <w:r w:rsidRPr="00527521">
        <w:rPr>
          <w:rFonts w:ascii="Times New Roman" w:eastAsia="Times New Roman" w:hAnsi="Times New Roman" w:cs="Times New Roman"/>
          <w:sz w:val="24"/>
          <w:szCs w:val="24"/>
        </w:rPr>
        <w:t>-Cote d'Azur.</w:t>
      </w:r>
    </w:p>
    <w:p w:rsidR="00527521" w:rsidRPr="00527521" w:rsidRDefault="00527521" w:rsidP="005275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Key Insight</w:t>
      </w:r>
      <w:r w:rsidRPr="00527521">
        <w:rPr>
          <w:rFonts w:ascii="Times New Roman" w:eastAsia="Times New Roman" w:hAnsi="Times New Roman" w:cs="Times New Roman"/>
          <w:sz w:val="24"/>
          <w:szCs w:val="24"/>
        </w:rPr>
        <w:t>: Regions with better soil health are better positioned to adapt to climate change impacts on agriculture.</w:t>
      </w:r>
    </w:p>
    <w:p w:rsidR="00527521" w:rsidRPr="00527521" w:rsidRDefault="00527521" w:rsidP="00527521">
      <w:pPr>
        <w:spacing w:after="0"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pict>
          <v:rect id="_x0000_i1026" style="width:0;height:1.5pt" o:hralign="center" o:hrstd="t" o:hr="t" fillcolor="#a0a0a0" stroked="f"/>
        </w:pict>
      </w: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Tools &amp; Technologies Used</w:t>
      </w:r>
    </w:p>
    <w:p w:rsidR="00527521" w:rsidRPr="00527521" w:rsidRDefault="00527521" w:rsidP="005275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Power BI</w:t>
      </w:r>
      <w:r w:rsidRPr="00527521">
        <w:rPr>
          <w:rFonts w:ascii="Times New Roman" w:eastAsia="Times New Roman" w:hAnsi="Times New Roman" w:cs="Times New Roman"/>
          <w:sz w:val="24"/>
          <w:szCs w:val="24"/>
        </w:rPr>
        <w:t>: The visualizations were created using Power BI, which allowed me to transform raw data into meaningful insights.</w:t>
      </w:r>
    </w:p>
    <w:p w:rsidR="00527521" w:rsidRPr="00527521" w:rsidRDefault="00527521" w:rsidP="005275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Data Sources</w:t>
      </w:r>
      <w:r w:rsidRPr="00527521">
        <w:rPr>
          <w:rFonts w:ascii="Times New Roman" w:eastAsia="Times New Roman" w:hAnsi="Times New Roman" w:cs="Times New Roman"/>
          <w:sz w:val="24"/>
          <w:szCs w:val="24"/>
        </w:rPr>
        <w:t>: The data was sourced from publicly available climate and agriculture datasets, including global reports on pesticide and fertilizer use, economic impacts, and soil health indices.</w:t>
      </w: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Challenges &amp; Solutions</w:t>
      </w:r>
    </w:p>
    <w:p w:rsidR="00527521" w:rsidRPr="00527521" w:rsidRDefault="00527521" w:rsidP="005275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Challenge</w:t>
      </w:r>
      <w:r w:rsidRPr="00527521">
        <w:rPr>
          <w:rFonts w:ascii="Times New Roman" w:eastAsia="Times New Roman" w:hAnsi="Times New Roman" w:cs="Times New Roman"/>
          <w:sz w:val="24"/>
          <w:szCs w:val="24"/>
        </w:rPr>
        <w:t>: One of the challenges was managing large datasets and making sense of the numerous data points related to environmental factors.</w:t>
      </w:r>
    </w:p>
    <w:p w:rsidR="00527521" w:rsidRPr="00527521" w:rsidRDefault="00527521" w:rsidP="0052752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Solution</w:t>
      </w:r>
      <w:r w:rsidRPr="00527521">
        <w:rPr>
          <w:rFonts w:ascii="Times New Roman" w:eastAsia="Times New Roman" w:hAnsi="Times New Roman" w:cs="Times New Roman"/>
          <w:sz w:val="24"/>
          <w:szCs w:val="24"/>
        </w:rPr>
        <w:t>: I used Power BI’s advanced filtering and aggregation tools to focus on key metrics and regions, ensuring clarity in the visualizations.</w:t>
      </w:r>
    </w:p>
    <w:p w:rsidR="00527521" w:rsidRDefault="00527521" w:rsidP="00527521">
      <w:pPr>
        <w:spacing w:after="0"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pict>
          <v:rect id="_x0000_i1027" style="width:0;height:1.5pt" o:hralign="center" o:hrstd="t" o:hr="t" fillcolor="#a0a0a0" stroked="f"/>
        </w:pict>
      </w:r>
    </w:p>
    <w:p w:rsidR="00527521" w:rsidRDefault="00527521" w:rsidP="00527521">
      <w:pPr>
        <w:spacing w:after="0" w:line="240" w:lineRule="auto"/>
        <w:rPr>
          <w:rFonts w:ascii="Times New Roman" w:eastAsia="Times New Roman" w:hAnsi="Times New Roman" w:cs="Times New Roman"/>
          <w:sz w:val="24"/>
          <w:szCs w:val="24"/>
        </w:rPr>
      </w:pPr>
    </w:p>
    <w:p w:rsidR="00527521" w:rsidRDefault="00527521" w:rsidP="00527521">
      <w:pPr>
        <w:spacing w:after="0" w:line="240" w:lineRule="auto"/>
        <w:rPr>
          <w:rFonts w:ascii="Times New Roman" w:eastAsia="Times New Roman" w:hAnsi="Times New Roman" w:cs="Times New Roman"/>
          <w:sz w:val="24"/>
          <w:szCs w:val="24"/>
        </w:rPr>
      </w:pPr>
    </w:p>
    <w:p w:rsidR="00527521" w:rsidRPr="00527521" w:rsidRDefault="00527521" w:rsidP="00527521">
      <w:pPr>
        <w:spacing w:after="0" w:line="240" w:lineRule="auto"/>
        <w:rPr>
          <w:rFonts w:ascii="Times New Roman" w:eastAsia="Times New Roman" w:hAnsi="Times New Roman" w:cs="Times New Roman"/>
          <w:sz w:val="24"/>
          <w:szCs w:val="24"/>
        </w:rPr>
      </w:pP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Key Takeaways</w:t>
      </w:r>
    </w:p>
    <w:p w:rsidR="00527521" w:rsidRPr="00527521" w:rsidRDefault="00527521" w:rsidP="005275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This project provides a comprehensive view of the </w:t>
      </w:r>
      <w:r w:rsidRPr="00527521">
        <w:rPr>
          <w:rFonts w:ascii="Times New Roman" w:eastAsia="Times New Roman" w:hAnsi="Times New Roman" w:cs="Times New Roman"/>
          <w:b/>
          <w:bCs/>
          <w:sz w:val="24"/>
          <w:szCs w:val="24"/>
        </w:rPr>
        <w:t>environmental challenges</w:t>
      </w:r>
      <w:r w:rsidRPr="00527521">
        <w:rPr>
          <w:rFonts w:ascii="Times New Roman" w:eastAsia="Times New Roman" w:hAnsi="Times New Roman" w:cs="Times New Roman"/>
          <w:sz w:val="24"/>
          <w:szCs w:val="24"/>
        </w:rPr>
        <w:t xml:space="preserve"> faced by countries and regions due to climate change.</w:t>
      </w:r>
    </w:p>
    <w:p w:rsidR="00527521" w:rsidRPr="00527521" w:rsidRDefault="00527521" w:rsidP="005275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The </w:t>
      </w:r>
      <w:r w:rsidRPr="00527521">
        <w:rPr>
          <w:rFonts w:ascii="Times New Roman" w:eastAsia="Times New Roman" w:hAnsi="Times New Roman" w:cs="Times New Roman"/>
          <w:b/>
          <w:bCs/>
          <w:sz w:val="24"/>
          <w:szCs w:val="24"/>
        </w:rPr>
        <w:t>agricultural sector</w:t>
      </w:r>
      <w:r w:rsidRPr="00527521">
        <w:rPr>
          <w:rFonts w:ascii="Times New Roman" w:eastAsia="Times New Roman" w:hAnsi="Times New Roman" w:cs="Times New Roman"/>
          <w:sz w:val="24"/>
          <w:szCs w:val="24"/>
        </w:rPr>
        <w:t xml:space="preserve"> is heavily impacted by climate change, and insights from this project could help inform policies on sustainable practices.</w:t>
      </w:r>
    </w:p>
    <w:p w:rsidR="00527521" w:rsidRPr="00527521" w:rsidRDefault="00527521" w:rsidP="005275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The </w:t>
      </w:r>
      <w:r w:rsidRPr="00527521">
        <w:rPr>
          <w:rFonts w:ascii="Times New Roman" w:eastAsia="Times New Roman" w:hAnsi="Times New Roman" w:cs="Times New Roman"/>
          <w:b/>
          <w:bCs/>
          <w:sz w:val="24"/>
          <w:szCs w:val="24"/>
        </w:rPr>
        <w:t>visualization approach</w:t>
      </w:r>
      <w:r w:rsidRPr="00527521">
        <w:rPr>
          <w:rFonts w:ascii="Times New Roman" w:eastAsia="Times New Roman" w:hAnsi="Times New Roman" w:cs="Times New Roman"/>
          <w:sz w:val="24"/>
          <w:szCs w:val="24"/>
        </w:rPr>
        <w:t xml:space="preserve"> used in this project offers a clear, easy-to-understand way to interpret complex environmental data, which is essential for making informed decisions on global climate policies.</w:t>
      </w:r>
    </w:p>
    <w:p w:rsidR="00527521" w:rsidRPr="00527521" w:rsidRDefault="00527521" w:rsidP="00527521">
      <w:pPr>
        <w:spacing w:after="0"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pict>
          <v:rect id="_x0000_i1028" style="width:0;height:1.5pt" o:hralign="center" o:hrstd="t" o:hr="t" fillcolor="#a0a0a0" stroked="f"/>
        </w:pict>
      </w: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Conclusion</w:t>
      </w: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This climate change visualization project has equipped me with valuable skills in </w:t>
      </w:r>
      <w:r w:rsidRPr="00527521">
        <w:rPr>
          <w:rFonts w:ascii="Times New Roman" w:eastAsia="Times New Roman" w:hAnsi="Times New Roman" w:cs="Times New Roman"/>
          <w:b/>
          <w:bCs/>
          <w:sz w:val="24"/>
          <w:szCs w:val="24"/>
        </w:rPr>
        <w:t>data visualization</w:t>
      </w:r>
      <w:r w:rsidRPr="00527521">
        <w:rPr>
          <w:rFonts w:ascii="Times New Roman" w:eastAsia="Times New Roman" w:hAnsi="Times New Roman" w:cs="Times New Roman"/>
          <w:sz w:val="24"/>
          <w:szCs w:val="24"/>
        </w:rPr>
        <w:t xml:space="preserve">, </w:t>
      </w:r>
      <w:r w:rsidRPr="00527521">
        <w:rPr>
          <w:rFonts w:ascii="Times New Roman" w:eastAsia="Times New Roman" w:hAnsi="Times New Roman" w:cs="Times New Roman"/>
          <w:b/>
          <w:bCs/>
          <w:sz w:val="24"/>
          <w:szCs w:val="24"/>
        </w:rPr>
        <w:t>agriculture-related climate analysis</w:t>
      </w:r>
      <w:r w:rsidRPr="00527521">
        <w:rPr>
          <w:rFonts w:ascii="Times New Roman" w:eastAsia="Times New Roman" w:hAnsi="Times New Roman" w:cs="Times New Roman"/>
          <w:sz w:val="24"/>
          <w:szCs w:val="24"/>
        </w:rPr>
        <w:t xml:space="preserve">, and using tools like </w:t>
      </w:r>
      <w:r w:rsidRPr="00527521">
        <w:rPr>
          <w:rFonts w:ascii="Times New Roman" w:eastAsia="Times New Roman" w:hAnsi="Times New Roman" w:cs="Times New Roman"/>
          <w:b/>
          <w:bCs/>
          <w:sz w:val="24"/>
          <w:szCs w:val="24"/>
        </w:rPr>
        <w:t>Power BI</w:t>
      </w:r>
      <w:r w:rsidRPr="00527521">
        <w:rPr>
          <w:rFonts w:ascii="Times New Roman" w:eastAsia="Times New Roman" w:hAnsi="Times New Roman" w:cs="Times New Roman"/>
          <w:sz w:val="24"/>
          <w:szCs w:val="24"/>
        </w:rPr>
        <w:t xml:space="preserve"> to derive actionable insights from large datasets. The insights gathered will contribute to a better understanding of how to mitigate climate change's impact on agriculture, soil health, and sustainability practices.</w:t>
      </w:r>
    </w:p>
    <w:p w:rsidR="00527521" w:rsidRDefault="00527521" w:rsidP="00527521">
      <w:pPr>
        <w:tabs>
          <w:tab w:val="left" w:pos="1560"/>
        </w:tabs>
      </w:pPr>
    </w:p>
    <w:p w:rsidR="00527521" w:rsidRDefault="00527521" w:rsidP="00527521">
      <w:pPr>
        <w:tabs>
          <w:tab w:val="left" w:pos="1560"/>
        </w:tabs>
      </w:pPr>
    </w:p>
    <w:p w:rsidR="00527521" w:rsidRDefault="00527521" w:rsidP="00527521">
      <w:pPr>
        <w:tabs>
          <w:tab w:val="left" w:pos="1560"/>
        </w:tabs>
      </w:pPr>
    </w:p>
    <w:p w:rsidR="00527521" w:rsidRDefault="00527521" w:rsidP="00527521">
      <w:pPr>
        <w:tabs>
          <w:tab w:val="left" w:pos="1560"/>
        </w:tabs>
      </w:pPr>
    </w:p>
    <w:p w:rsidR="00527521" w:rsidRDefault="00527521" w:rsidP="00527521">
      <w:pPr>
        <w:tabs>
          <w:tab w:val="left" w:pos="1560"/>
        </w:tabs>
      </w:pPr>
      <w:r>
        <w:rPr>
          <w:noProof/>
        </w:rPr>
        <w:lastRenderedPageBreak/>
        <w:drawing>
          <wp:inline distT="0" distB="0" distL="0" distR="0">
            <wp:extent cx="4944165" cy="314368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944165" cy="3143689"/>
                    </a:xfrm>
                    <a:prstGeom prst="rect">
                      <a:avLst/>
                    </a:prstGeom>
                  </pic:spPr>
                </pic:pic>
              </a:graphicData>
            </a:graphic>
          </wp:inline>
        </w:drawing>
      </w:r>
    </w:p>
    <w:p w:rsidR="00527521" w:rsidRDefault="00527521" w:rsidP="00527521">
      <w:pPr>
        <w:tabs>
          <w:tab w:val="left" w:pos="1560"/>
        </w:tabs>
      </w:pPr>
    </w:p>
    <w:p w:rsidR="00527521" w:rsidRDefault="00527521" w:rsidP="00527521">
      <w:pPr>
        <w:tabs>
          <w:tab w:val="left" w:pos="1560"/>
        </w:tabs>
      </w:pP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Report on Pesticide Use by Country</w:t>
      </w: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This data visualization highlights the </w:t>
      </w:r>
      <w:r w:rsidRPr="00527521">
        <w:rPr>
          <w:rFonts w:ascii="Times New Roman" w:eastAsia="Times New Roman" w:hAnsi="Times New Roman" w:cs="Times New Roman"/>
          <w:b/>
          <w:bCs/>
          <w:sz w:val="24"/>
          <w:szCs w:val="24"/>
        </w:rPr>
        <w:t>pesticide use in kilograms per hectare (KG per HA)</w:t>
      </w:r>
      <w:r w:rsidRPr="00527521">
        <w:rPr>
          <w:rFonts w:ascii="Times New Roman" w:eastAsia="Times New Roman" w:hAnsi="Times New Roman" w:cs="Times New Roman"/>
          <w:sz w:val="24"/>
          <w:szCs w:val="24"/>
        </w:rPr>
        <w:t xml:space="preserve"> across various countries. The countries represented in the graph include China, India, Nigeria, USA, Australia, Argentina, Canada, France, Brazil, and Russia.</w:t>
      </w: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Key Observations:</w:t>
      </w:r>
    </w:p>
    <w:p w:rsidR="00527521" w:rsidRPr="00527521" w:rsidRDefault="00527521" w:rsidP="005275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Brazil and Russia</w:t>
      </w:r>
      <w:r w:rsidRPr="00527521">
        <w:rPr>
          <w:rFonts w:ascii="Times New Roman" w:eastAsia="Times New Roman" w:hAnsi="Times New Roman" w:cs="Times New Roman"/>
          <w:sz w:val="24"/>
          <w:szCs w:val="24"/>
        </w:rPr>
        <w:t xml:space="preserve"> show the </w:t>
      </w:r>
      <w:r w:rsidRPr="00527521">
        <w:rPr>
          <w:rFonts w:ascii="Times New Roman" w:eastAsia="Times New Roman" w:hAnsi="Times New Roman" w:cs="Times New Roman"/>
          <w:b/>
          <w:bCs/>
          <w:sz w:val="24"/>
          <w:szCs w:val="24"/>
        </w:rPr>
        <w:t>highest pesticide use</w:t>
      </w:r>
      <w:r w:rsidRPr="00527521">
        <w:rPr>
          <w:rFonts w:ascii="Times New Roman" w:eastAsia="Times New Roman" w:hAnsi="Times New Roman" w:cs="Times New Roman"/>
          <w:sz w:val="24"/>
          <w:szCs w:val="24"/>
        </w:rPr>
        <w:t>, indicating intensive agricultural practices in these regions.</w:t>
      </w:r>
    </w:p>
    <w:p w:rsidR="00527521" w:rsidRPr="00527521" w:rsidRDefault="00527521" w:rsidP="005275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China and India</w:t>
      </w:r>
      <w:r w:rsidRPr="00527521">
        <w:rPr>
          <w:rFonts w:ascii="Times New Roman" w:eastAsia="Times New Roman" w:hAnsi="Times New Roman" w:cs="Times New Roman"/>
          <w:sz w:val="24"/>
          <w:szCs w:val="24"/>
        </w:rPr>
        <w:t xml:space="preserve"> exhibit </w:t>
      </w:r>
      <w:r w:rsidRPr="00527521">
        <w:rPr>
          <w:rFonts w:ascii="Times New Roman" w:eastAsia="Times New Roman" w:hAnsi="Times New Roman" w:cs="Times New Roman"/>
          <w:b/>
          <w:bCs/>
          <w:sz w:val="24"/>
          <w:szCs w:val="24"/>
        </w:rPr>
        <w:t>relatively lower pesticide usage</w:t>
      </w:r>
      <w:r w:rsidRPr="00527521">
        <w:rPr>
          <w:rFonts w:ascii="Times New Roman" w:eastAsia="Times New Roman" w:hAnsi="Times New Roman" w:cs="Times New Roman"/>
          <w:sz w:val="24"/>
          <w:szCs w:val="24"/>
        </w:rPr>
        <w:t xml:space="preserve"> compared to the other countries, despite having large agricultural sectors.</w:t>
      </w:r>
    </w:p>
    <w:p w:rsidR="00527521" w:rsidRDefault="00527521" w:rsidP="005275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Pesticide use</w:t>
      </w:r>
      <w:r w:rsidRPr="00527521">
        <w:rPr>
          <w:rFonts w:ascii="Times New Roman" w:eastAsia="Times New Roman" w:hAnsi="Times New Roman" w:cs="Times New Roman"/>
          <w:sz w:val="24"/>
          <w:szCs w:val="24"/>
        </w:rPr>
        <w:t xml:space="preserve"> appears to </w:t>
      </w:r>
      <w:r w:rsidRPr="00527521">
        <w:rPr>
          <w:rFonts w:ascii="Times New Roman" w:eastAsia="Times New Roman" w:hAnsi="Times New Roman" w:cs="Times New Roman"/>
          <w:b/>
          <w:bCs/>
          <w:sz w:val="24"/>
          <w:szCs w:val="24"/>
        </w:rPr>
        <w:t>increase steadily</w:t>
      </w:r>
      <w:r w:rsidRPr="00527521">
        <w:rPr>
          <w:rFonts w:ascii="Times New Roman" w:eastAsia="Times New Roman" w:hAnsi="Times New Roman" w:cs="Times New Roman"/>
          <w:sz w:val="24"/>
          <w:szCs w:val="24"/>
        </w:rPr>
        <w:t xml:space="preserve"> from China to Russia, suggesting varying levels of agricultural intensification.</w:t>
      </w:r>
    </w:p>
    <w:p w:rsid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lastRenderedPageBreak/>
        <w:t>Conclusion:</w:t>
      </w: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This analysis provides important insights into how different countries approach agricultural production and highlights regions with potentially higher environmental risks due to pesticide usage. Countries with higher pesticide use may need to consider sustainable practices to mitigate environmental and health impacts.</w:t>
      </w:r>
    </w:p>
    <w:p w:rsid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This visualization serves as a critical tool for policymakers, environmentalists, and agricultural planners to make informed decisions regarding pesticide regulations and sustainable farming.</w:t>
      </w:r>
    </w:p>
    <w:p w:rsid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Default="00527521" w:rsidP="00527521">
      <w:pPr>
        <w:tabs>
          <w:tab w:val="left" w:pos="1560"/>
        </w:tabs>
      </w:pPr>
      <w:r>
        <w:rPr>
          <w:rFonts w:ascii="Times New Roman" w:eastAsia="Times New Roman" w:hAnsi="Times New Roman" w:cs="Times New Roman"/>
          <w:noProof/>
          <w:sz w:val="24"/>
          <w:szCs w:val="24"/>
        </w:rPr>
        <w:drawing>
          <wp:inline distT="0" distB="0" distL="0" distR="0" wp14:anchorId="342069CB" wp14:editId="5A8756E1">
            <wp:extent cx="59436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rsidR="00527521" w:rsidRDefault="00527521" w:rsidP="00527521">
      <w:pPr>
        <w:tabs>
          <w:tab w:val="left" w:pos="1560"/>
        </w:tabs>
      </w:pP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Report on Economic Impact by Crop Type</w:t>
      </w:r>
    </w:p>
    <w:p w:rsid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This pie chart illustrates the </w:t>
      </w:r>
      <w:r w:rsidRPr="00527521">
        <w:rPr>
          <w:rFonts w:ascii="Times New Roman" w:eastAsia="Times New Roman" w:hAnsi="Times New Roman" w:cs="Times New Roman"/>
          <w:b/>
          <w:bCs/>
          <w:sz w:val="24"/>
          <w:szCs w:val="24"/>
        </w:rPr>
        <w:t>economic impact of various crop types</w:t>
      </w:r>
      <w:r w:rsidRPr="00527521">
        <w:rPr>
          <w:rFonts w:ascii="Times New Roman" w:eastAsia="Times New Roman" w:hAnsi="Times New Roman" w:cs="Times New Roman"/>
          <w:sz w:val="24"/>
          <w:szCs w:val="24"/>
        </w:rPr>
        <w:t xml:space="preserve"> in terms of </w:t>
      </w:r>
      <w:r w:rsidRPr="00527521">
        <w:rPr>
          <w:rFonts w:ascii="Times New Roman" w:eastAsia="Times New Roman" w:hAnsi="Times New Roman" w:cs="Times New Roman"/>
          <w:b/>
          <w:bCs/>
          <w:sz w:val="24"/>
          <w:szCs w:val="24"/>
        </w:rPr>
        <w:t>millions of USD</w:t>
      </w:r>
      <w:r w:rsidRPr="00527521">
        <w:rPr>
          <w:rFonts w:ascii="Times New Roman" w:eastAsia="Times New Roman" w:hAnsi="Times New Roman" w:cs="Times New Roman"/>
          <w:sz w:val="24"/>
          <w:szCs w:val="24"/>
        </w:rPr>
        <w:t>. The crops analyzed include wheat, sugarcane, rice, corn, cotton, vegetables, fruits, barley, coffee, and soybeans.</w:t>
      </w: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lastRenderedPageBreak/>
        <w:t>Key Observations:</w:t>
      </w:r>
    </w:p>
    <w:p w:rsidR="00527521" w:rsidRPr="00527521" w:rsidRDefault="00527521" w:rsidP="005275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Wheat</w:t>
      </w:r>
      <w:r w:rsidRPr="00527521">
        <w:rPr>
          <w:rFonts w:ascii="Times New Roman" w:eastAsia="Times New Roman" w:hAnsi="Times New Roman" w:cs="Times New Roman"/>
          <w:sz w:val="24"/>
          <w:szCs w:val="24"/>
        </w:rPr>
        <w:t xml:space="preserve"> shows the highest economic impact at </w:t>
      </w:r>
      <w:r w:rsidRPr="00527521">
        <w:rPr>
          <w:rFonts w:ascii="Times New Roman" w:eastAsia="Times New Roman" w:hAnsi="Times New Roman" w:cs="Times New Roman"/>
          <w:b/>
          <w:bCs/>
          <w:sz w:val="24"/>
          <w:szCs w:val="24"/>
        </w:rPr>
        <w:t>714.98K million USD</w:t>
      </w:r>
      <w:r w:rsidRPr="00527521">
        <w:rPr>
          <w:rFonts w:ascii="Times New Roman" w:eastAsia="Times New Roman" w:hAnsi="Times New Roman" w:cs="Times New Roman"/>
          <w:sz w:val="24"/>
          <w:szCs w:val="24"/>
        </w:rPr>
        <w:t xml:space="preserve"> (10.6%), followed closely by </w:t>
      </w:r>
      <w:r w:rsidRPr="00527521">
        <w:rPr>
          <w:rFonts w:ascii="Times New Roman" w:eastAsia="Times New Roman" w:hAnsi="Times New Roman" w:cs="Times New Roman"/>
          <w:b/>
          <w:bCs/>
          <w:sz w:val="24"/>
          <w:szCs w:val="24"/>
        </w:rPr>
        <w:t>Rice</w:t>
      </w:r>
      <w:r w:rsidRPr="00527521">
        <w:rPr>
          <w:rFonts w:ascii="Times New Roman" w:eastAsia="Times New Roman" w:hAnsi="Times New Roman" w:cs="Times New Roman"/>
          <w:sz w:val="24"/>
          <w:szCs w:val="24"/>
        </w:rPr>
        <w:t xml:space="preserve"> with </w:t>
      </w:r>
      <w:r w:rsidRPr="00527521">
        <w:rPr>
          <w:rFonts w:ascii="Times New Roman" w:eastAsia="Times New Roman" w:hAnsi="Times New Roman" w:cs="Times New Roman"/>
          <w:b/>
          <w:bCs/>
          <w:sz w:val="24"/>
          <w:szCs w:val="24"/>
        </w:rPr>
        <w:t>695.07K million USD</w:t>
      </w:r>
      <w:r w:rsidRPr="00527521">
        <w:rPr>
          <w:rFonts w:ascii="Times New Roman" w:eastAsia="Times New Roman" w:hAnsi="Times New Roman" w:cs="Times New Roman"/>
          <w:sz w:val="24"/>
          <w:szCs w:val="24"/>
        </w:rPr>
        <w:t xml:space="preserve"> (10.31%).</w:t>
      </w:r>
    </w:p>
    <w:p w:rsidR="00527521" w:rsidRPr="00527521" w:rsidRDefault="00527521" w:rsidP="005275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Other significant contributors are </w:t>
      </w:r>
      <w:r w:rsidRPr="00527521">
        <w:rPr>
          <w:rFonts w:ascii="Times New Roman" w:eastAsia="Times New Roman" w:hAnsi="Times New Roman" w:cs="Times New Roman"/>
          <w:b/>
          <w:bCs/>
          <w:sz w:val="24"/>
          <w:szCs w:val="24"/>
        </w:rPr>
        <w:t>Corn</w:t>
      </w:r>
      <w:r w:rsidRPr="00527521">
        <w:rPr>
          <w:rFonts w:ascii="Times New Roman" w:eastAsia="Times New Roman" w:hAnsi="Times New Roman" w:cs="Times New Roman"/>
          <w:sz w:val="24"/>
          <w:szCs w:val="24"/>
        </w:rPr>
        <w:t xml:space="preserve"> (</w:t>
      </w:r>
      <w:r w:rsidRPr="00527521">
        <w:rPr>
          <w:rFonts w:ascii="Times New Roman" w:eastAsia="Times New Roman" w:hAnsi="Times New Roman" w:cs="Times New Roman"/>
          <w:b/>
          <w:bCs/>
          <w:sz w:val="24"/>
          <w:szCs w:val="24"/>
        </w:rPr>
        <w:t>688.15K million USD, 10.21%</w:t>
      </w:r>
      <w:r w:rsidRPr="00527521">
        <w:rPr>
          <w:rFonts w:ascii="Times New Roman" w:eastAsia="Times New Roman" w:hAnsi="Times New Roman" w:cs="Times New Roman"/>
          <w:sz w:val="24"/>
          <w:szCs w:val="24"/>
        </w:rPr>
        <w:t xml:space="preserve">), </w:t>
      </w:r>
      <w:r w:rsidRPr="00527521">
        <w:rPr>
          <w:rFonts w:ascii="Times New Roman" w:eastAsia="Times New Roman" w:hAnsi="Times New Roman" w:cs="Times New Roman"/>
          <w:b/>
          <w:bCs/>
          <w:sz w:val="24"/>
          <w:szCs w:val="24"/>
        </w:rPr>
        <w:t>Vegetables</w:t>
      </w:r>
      <w:r w:rsidRPr="00527521">
        <w:rPr>
          <w:rFonts w:ascii="Times New Roman" w:eastAsia="Times New Roman" w:hAnsi="Times New Roman" w:cs="Times New Roman"/>
          <w:sz w:val="24"/>
          <w:szCs w:val="24"/>
        </w:rPr>
        <w:t xml:space="preserve"> (</w:t>
      </w:r>
      <w:r w:rsidRPr="00527521">
        <w:rPr>
          <w:rFonts w:ascii="Times New Roman" w:eastAsia="Times New Roman" w:hAnsi="Times New Roman" w:cs="Times New Roman"/>
          <w:b/>
          <w:bCs/>
          <w:sz w:val="24"/>
          <w:szCs w:val="24"/>
        </w:rPr>
        <w:t>681.39K million USD, 10.11%</w:t>
      </w:r>
      <w:r w:rsidRPr="00527521">
        <w:rPr>
          <w:rFonts w:ascii="Times New Roman" w:eastAsia="Times New Roman" w:hAnsi="Times New Roman" w:cs="Times New Roman"/>
          <w:sz w:val="24"/>
          <w:szCs w:val="24"/>
        </w:rPr>
        <w:t xml:space="preserve">), and </w:t>
      </w:r>
      <w:r w:rsidRPr="00527521">
        <w:rPr>
          <w:rFonts w:ascii="Times New Roman" w:eastAsia="Times New Roman" w:hAnsi="Times New Roman" w:cs="Times New Roman"/>
          <w:b/>
          <w:bCs/>
          <w:sz w:val="24"/>
          <w:szCs w:val="24"/>
        </w:rPr>
        <w:t>Fruits</w:t>
      </w:r>
      <w:r w:rsidRPr="00527521">
        <w:rPr>
          <w:rFonts w:ascii="Times New Roman" w:eastAsia="Times New Roman" w:hAnsi="Times New Roman" w:cs="Times New Roman"/>
          <w:sz w:val="24"/>
          <w:szCs w:val="24"/>
        </w:rPr>
        <w:t xml:space="preserve"> (</w:t>
      </w:r>
      <w:r w:rsidRPr="00527521">
        <w:rPr>
          <w:rFonts w:ascii="Times New Roman" w:eastAsia="Times New Roman" w:hAnsi="Times New Roman" w:cs="Times New Roman"/>
          <w:b/>
          <w:bCs/>
          <w:sz w:val="24"/>
          <w:szCs w:val="24"/>
        </w:rPr>
        <w:t>680.1K million USD, 10.09%</w:t>
      </w:r>
      <w:r w:rsidRPr="00527521">
        <w:rPr>
          <w:rFonts w:ascii="Times New Roman" w:eastAsia="Times New Roman" w:hAnsi="Times New Roman" w:cs="Times New Roman"/>
          <w:sz w:val="24"/>
          <w:szCs w:val="24"/>
        </w:rPr>
        <w:t>).</w:t>
      </w:r>
    </w:p>
    <w:p w:rsidR="00527521" w:rsidRPr="00527521" w:rsidRDefault="00527521" w:rsidP="0052752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b/>
          <w:bCs/>
          <w:sz w:val="24"/>
          <w:szCs w:val="24"/>
        </w:rPr>
        <w:t>Soybeans</w:t>
      </w:r>
      <w:r w:rsidRPr="00527521">
        <w:rPr>
          <w:rFonts w:ascii="Times New Roman" w:eastAsia="Times New Roman" w:hAnsi="Times New Roman" w:cs="Times New Roman"/>
          <w:sz w:val="24"/>
          <w:szCs w:val="24"/>
        </w:rPr>
        <w:t xml:space="preserve"> have the smallest impact at </w:t>
      </w:r>
      <w:r w:rsidRPr="00527521">
        <w:rPr>
          <w:rFonts w:ascii="Times New Roman" w:eastAsia="Times New Roman" w:hAnsi="Times New Roman" w:cs="Times New Roman"/>
          <w:b/>
          <w:bCs/>
          <w:sz w:val="24"/>
          <w:szCs w:val="24"/>
        </w:rPr>
        <w:t>635.4K million USD</w:t>
      </w:r>
      <w:r w:rsidRPr="00527521">
        <w:rPr>
          <w:rFonts w:ascii="Times New Roman" w:eastAsia="Times New Roman" w:hAnsi="Times New Roman" w:cs="Times New Roman"/>
          <w:sz w:val="24"/>
          <w:szCs w:val="24"/>
        </w:rPr>
        <w:t xml:space="preserve"> (9.42%).</w:t>
      </w:r>
    </w:p>
    <w:p w:rsidR="00527521" w:rsidRPr="00527521" w:rsidRDefault="00527521" w:rsidP="00527521">
      <w:pPr>
        <w:spacing w:before="100" w:beforeAutospacing="1" w:after="100" w:afterAutospacing="1" w:line="240" w:lineRule="auto"/>
        <w:outlineLvl w:val="2"/>
        <w:rPr>
          <w:rFonts w:ascii="Times New Roman" w:eastAsia="Times New Roman" w:hAnsi="Times New Roman" w:cs="Times New Roman"/>
          <w:b/>
          <w:bCs/>
          <w:sz w:val="27"/>
          <w:szCs w:val="27"/>
        </w:rPr>
      </w:pPr>
      <w:r w:rsidRPr="00527521">
        <w:rPr>
          <w:rFonts w:ascii="Times New Roman" w:eastAsia="Times New Roman" w:hAnsi="Times New Roman" w:cs="Times New Roman"/>
          <w:b/>
          <w:bCs/>
          <w:sz w:val="27"/>
          <w:szCs w:val="27"/>
        </w:rPr>
        <w:t>Conclusion:</w:t>
      </w:r>
    </w:p>
    <w:p w:rsidR="00527521" w:rsidRPr="00527521" w:rsidRDefault="00527521" w:rsidP="00527521">
      <w:pPr>
        <w:spacing w:before="100" w:beforeAutospacing="1" w:after="100" w:afterAutospacing="1" w:line="240" w:lineRule="auto"/>
        <w:rPr>
          <w:rFonts w:ascii="Times New Roman" w:eastAsia="Times New Roman" w:hAnsi="Times New Roman" w:cs="Times New Roman"/>
          <w:sz w:val="24"/>
          <w:szCs w:val="24"/>
        </w:rPr>
      </w:pPr>
      <w:r w:rsidRPr="00527521">
        <w:rPr>
          <w:rFonts w:ascii="Times New Roman" w:eastAsia="Times New Roman" w:hAnsi="Times New Roman" w:cs="Times New Roman"/>
          <w:sz w:val="24"/>
          <w:szCs w:val="24"/>
        </w:rPr>
        <w:t xml:space="preserve">This data shows that </w:t>
      </w:r>
      <w:r w:rsidRPr="00527521">
        <w:rPr>
          <w:rFonts w:ascii="Times New Roman" w:eastAsia="Times New Roman" w:hAnsi="Times New Roman" w:cs="Times New Roman"/>
          <w:b/>
          <w:bCs/>
          <w:sz w:val="24"/>
          <w:szCs w:val="24"/>
        </w:rPr>
        <w:t>wheat</w:t>
      </w:r>
      <w:r w:rsidRPr="00527521">
        <w:rPr>
          <w:rFonts w:ascii="Times New Roman" w:eastAsia="Times New Roman" w:hAnsi="Times New Roman" w:cs="Times New Roman"/>
          <w:sz w:val="24"/>
          <w:szCs w:val="24"/>
        </w:rPr>
        <w:t xml:space="preserve">, </w:t>
      </w:r>
      <w:r w:rsidRPr="00527521">
        <w:rPr>
          <w:rFonts w:ascii="Times New Roman" w:eastAsia="Times New Roman" w:hAnsi="Times New Roman" w:cs="Times New Roman"/>
          <w:b/>
          <w:bCs/>
          <w:sz w:val="24"/>
          <w:szCs w:val="24"/>
        </w:rPr>
        <w:t>rice</w:t>
      </w:r>
      <w:r w:rsidRPr="00527521">
        <w:rPr>
          <w:rFonts w:ascii="Times New Roman" w:eastAsia="Times New Roman" w:hAnsi="Times New Roman" w:cs="Times New Roman"/>
          <w:sz w:val="24"/>
          <w:szCs w:val="24"/>
        </w:rPr>
        <w:t xml:space="preserve">, and </w:t>
      </w:r>
      <w:r w:rsidRPr="00527521">
        <w:rPr>
          <w:rFonts w:ascii="Times New Roman" w:eastAsia="Times New Roman" w:hAnsi="Times New Roman" w:cs="Times New Roman"/>
          <w:b/>
          <w:bCs/>
          <w:sz w:val="24"/>
          <w:szCs w:val="24"/>
        </w:rPr>
        <w:t>corn</w:t>
      </w:r>
      <w:r w:rsidRPr="00527521">
        <w:rPr>
          <w:rFonts w:ascii="Times New Roman" w:eastAsia="Times New Roman" w:hAnsi="Times New Roman" w:cs="Times New Roman"/>
          <w:sz w:val="24"/>
          <w:szCs w:val="24"/>
        </w:rPr>
        <w:t xml:space="preserve"> are the top contributors to the agricultural economy. These crops form the backbone of food supply chains and economic sustainability. Understanding the economic contributions of different crop types can help guide resource allocation and policy-making in the agriculture sector.</w:t>
      </w:r>
    </w:p>
    <w:p w:rsidR="00527521" w:rsidRDefault="00527521" w:rsidP="00527521">
      <w:pPr>
        <w:tabs>
          <w:tab w:val="left" w:pos="1560"/>
        </w:tabs>
      </w:pPr>
    </w:p>
    <w:p w:rsidR="00527521" w:rsidRDefault="00527521" w:rsidP="00527521">
      <w:pPr>
        <w:tabs>
          <w:tab w:val="left" w:pos="1560"/>
        </w:tabs>
      </w:pPr>
    </w:p>
    <w:p w:rsidR="00704044" w:rsidRDefault="00704044" w:rsidP="00527521">
      <w:pPr>
        <w:tabs>
          <w:tab w:val="left" w:pos="1560"/>
        </w:tabs>
      </w:pPr>
      <w:r>
        <w:rPr>
          <w:noProof/>
        </w:rPr>
        <w:drawing>
          <wp:inline distT="0" distB="0" distL="0" distR="0">
            <wp:extent cx="6705600" cy="3111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a:extLst>
                        <a:ext uri="{28A0092B-C50C-407E-A947-70E740481C1C}">
                          <a14:useLocalDpi xmlns:a14="http://schemas.microsoft.com/office/drawing/2010/main" val="0"/>
                        </a:ext>
                      </a:extLst>
                    </a:blip>
                    <a:stretch>
                      <a:fillRect/>
                    </a:stretch>
                  </pic:blipFill>
                  <pic:spPr>
                    <a:xfrm>
                      <a:off x="0" y="0"/>
                      <a:ext cx="6707392" cy="3111934"/>
                    </a:xfrm>
                    <a:prstGeom prst="rect">
                      <a:avLst/>
                    </a:prstGeom>
                  </pic:spPr>
                </pic:pic>
              </a:graphicData>
            </a:graphic>
          </wp:inline>
        </w:drawing>
      </w:r>
    </w:p>
    <w:p w:rsidR="00704044" w:rsidRPr="00704044" w:rsidRDefault="00704044" w:rsidP="00704044"/>
    <w:p w:rsidR="00704044" w:rsidRDefault="00704044" w:rsidP="00704044"/>
    <w:p w:rsidR="00704044" w:rsidRDefault="00704044" w:rsidP="00704044">
      <w:pPr>
        <w:pStyle w:val="Heading2"/>
      </w:pPr>
      <w:r>
        <w:t>Analyzing Fertilizer Usage by Region</w:t>
      </w:r>
    </w:p>
    <w:p w:rsidR="00704044" w:rsidRDefault="00704044" w:rsidP="00704044">
      <w:pPr>
        <w:pStyle w:val="NormalWeb"/>
      </w:pPr>
      <w:r>
        <w:rPr>
          <w:rStyle w:val="Strong"/>
        </w:rPr>
        <w:t>Key Observations:</w:t>
      </w:r>
    </w:p>
    <w:p w:rsidR="00704044" w:rsidRDefault="00704044" w:rsidP="00704044">
      <w:pPr>
        <w:numPr>
          <w:ilvl w:val="0"/>
          <w:numId w:val="7"/>
        </w:numPr>
        <w:spacing w:before="100" w:beforeAutospacing="1" w:after="100" w:afterAutospacing="1" w:line="240" w:lineRule="auto"/>
      </w:pPr>
      <w:r>
        <w:rPr>
          <w:rStyle w:val="Strong"/>
        </w:rPr>
        <w:t>Regional Disparity:</w:t>
      </w:r>
      <w:r>
        <w:t xml:space="preserve"> There is a significant variation in fertilizer usage across different regions.</w:t>
      </w:r>
    </w:p>
    <w:p w:rsidR="00704044" w:rsidRDefault="00704044" w:rsidP="00704044">
      <w:pPr>
        <w:numPr>
          <w:ilvl w:val="0"/>
          <w:numId w:val="7"/>
        </w:numPr>
        <w:spacing w:before="100" w:beforeAutospacing="1" w:after="100" w:afterAutospacing="1" w:line="240" w:lineRule="auto"/>
      </w:pPr>
      <w:r>
        <w:rPr>
          <w:rStyle w:val="Strong"/>
        </w:rPr>
        <w:lastRenderedPageBreak/>
        <w:t>Top Regions:</w:t>
      </w:r>
      <w:r>
        <w:t xml:space="preserve"> The "South..." region, followed by the "North..." region, </w:t>
      </w:r>
      <w:proofErr w:type="gramStart"/>
      <w:r>
        <w:t>exhibit</w:t>
      </w:r>
      <w:proofErr w:type="gramEnd"/>
      <w:r>
        <w:t xml:space="preserve"> the highest levels of fertilizer usage.</w:t>
      </w:r>
    </w:p>
    <w:p w:rsidR="00704044" w:rsidRDefault="00704044" w:rsidP="00704044">
      <w:pPr>
        <w:numPr>
          <w:ilvl w:val="0"/>
          <w:numId w:val="7"/>
        </w:numPr>
        <w:spacing w:before="100" w:beforeAutospacing="1" w:after="100" w:afterAutospacing="1" w:line="240" w:lineRule="auto"/>
      </w:pPr>
      <w:r>
        <w:rPr>
          <w:rStyle w:val="Strong"/>
        </w:rPr>
        <w:t>Middling Regions:</w:t>
      </w:r>
      <w:r>
        <w:t xml:space="preserve"> The "Victoria," "Central," and "Punjab" regions demonstrate moderate fertilizer application.</w:t>
      </w:r>
    </w:p>
    <w:p w:rsidR="00704044" w:rsidRDefault="00704044" w:rsidP="00704044">
      <w:pPr>
        <w:numPr>
          <w:ilvl w:val="0"/>
          <w:numId w:val="7"/>
        </w:numPr>
        <w:spacing w:before="100" w:beforeAutospacing="1" w:after="100" w:afterAutospacing="1" w:line="240" w:lineRule="auto"/>
      </w:pPr>
      <w:r>
        <w:rPr>
          <w:rStyle w:val="Strong"/>
        </w:rPr>
        <w:t>Lower Usage:</w:t>
      </w:r>
      <w:r>
        <w:t xml:space="preserve"> The remaining regions, including "South East," "New S...," "Ontario," "West," "Siberian," "</w:t>
      </w:r>
      <w:proofErr w:type="spellStart"/>
      <w:r>
        <w:t>Quee</w:t>
      </w:r>
      <w:proofErr w:type="spellEnd"/>
      <w:r>
        <w:t>...," "</w:t>
      </w:r>
      <w:proofErr w:type="spellStart"/>
      <w:r>
        <w:t>Midw</w:t>
      </w:r>
      <w:proofErr w:type="spellEnd"/>
      <w:r>
        <w:t>...," "Grand...," "West...," "South," "</w:t>
      </w:r>
      <w:proofErr w:type="spellStart"/>
      <w:r>
        <w:t>Patag</w:t>
      </w:r>
      <w:proofErr w:type="spellEnd"/>
      <w:r>
        <w:t>...," "Volga," "</w:t>
      </w:r>
      <w:proofErr w:type="spellStart"/>
      <w:r>
        <w:t>Nουν</w:t>
      </w:r>
      <w:proofErr w:type="spellEnd"/>
      <w:r>
        <w:t>...," and "North...," generally have lower fertilizer usage rates.</w:t>
      </w:r>
    </w:p>
    <w:p w:rsidR="00704044" w:rsidRDefault="00704044" w:rsidP="00704044">
      <w:pPr>
        <w:pStyle w:val="NormalWeb"/>
      </w:pPr>
      <w:r>
        <w:rPr>
          <w:rStyle w:val="Strong"/>
        </w:rPr>
        <w:t>Potential Implications:</w:t>
      </w:r>
    </w:p>
    <w:p w:rsidR="00704044" w:rsidRDefault="00704044" w:rsidP="00704044">
      <w:pPr>
        <w:numPr>
          <w:ilvl w:val="0"/>
          <w:numId w:val="8"/>
        </w:numPr>
        <w:spacing w:before="100" w:beforeAutospacing="1" w:after="100" w:afterAutospacing="1" w:line="240" w:lineRule="auto"/>
      </w:pPr>
      <w:r>
        <w:rPr>
          <w:rStyle w:val="Strong"/>
        </w:rPr>
        <w:t>Agricultural Productivity:</w:t>
      </w:r>
      <w:r>
        <w:t xml:space="preserve"> Regions with higher fertilizer usage might indicate intensive agricultural practices, potentially leading to higher crop yields. However, excessive fertilizer application can also contribute to environmental issues like water pollution.</w:t>
      </w:r>
    </w:p>
    <w:p w:rsidR="00704044" w:rsidRDefault="00704044" w:rsidP="00704044">
      <w:pPr>
        <w:numPr>
          <w:ilvl w:val="0"/>
          <w:numId w:val="8"/>
        </w:numPr>
        <w:spacing w:before="100" w:beforeAutospacing="1" w:after="100" w:afterAutospacing="1" w:line="240" w:lineRule="auto"/>
      </w:pPr>
      <w:r>
        <w:rPr>
          <w:rStyle w:val="Strong"/>
        </w:rPr>
        <w:t>Soil Health:</w:t>
      </w:r>
      <w:r>
        <w:t xml:space="preserve"> Overuse of fertilizers can deplete soil nutrients and degrade soil quality over time.</w:t>
      </w:r>
    </w:p>
    <w:p w:rsidR="00704044" w:rsidRDefault="00704044" w:rsidP="00704044">
      <w:pPr>
        <w:numPr>
          <w:ilvl w:val="0"/>
          <w:numId w:val="8"/>
        </w:numPr>
        <w:spacing w:before="100" w:beforeAutospacing="1" w:after="100" w:afterAutospacing="1" w:line="240" w:lineRule="auto"/>
      </w:pPr>
      <w:r>
        <w:rPr>
          <w:rStyle w:val="Strong"/>
        </w:rPr>
        <w:t>Environmental Impacts:</w:t>
      </w:r>
      <w:r>
        <w:t xml:space="preserve"> Fertilizer runoff can contribute to nutrient pollution in water bodies, leading to eutrophication and harming aquatic ecosystems.</w:t>
      </w:r>
    </w:p>
    <w:p w:rsidR="00704044" w:rsidRDefault="00704044" w:rsidP="00704044">
      <w:pPr>
        <w:numPr>
          <w:ilvl w:val="0"/>
          <w:numId w:val="8"/>
        </w:numPr>
        <w:spacing w:before="100" w:beforeAutospacing="1" w:after="100" w:afterAutospacing="1" w:line="240" w:lineRule="auto"/>
      </w:pPr>
      <w:r>
        <w:rPr>
          <w:rStyle w:val="Strong"/>
        </w:rPr>
        <w:t>Economic Factors:</w:t>
      </w:r>
      <w:r>
        <w:t xml:space="preserve"> The cost of fertilizers can impact agricultural profitability, particularly in regions with lower usage rates.</w:t>
      </w:r>
    </w:p>
    <w:p w:rsidR="00704044" w:rsidRDefault="00704044" w:rsidP="00704044">
      <w:pPr>
        <w:pStyle w:val="NormalWeb"/>
      </w:pPr>
      <w:r>
        <w:rPr>
          <w:rStyle w:val="Strong"/>
        </w:rPr>
        <w:t>Further Analysis:</w:t>
      </w:r>
    </w:p>
    <w:p w:rsidR="00704044" w:rsidRDefault="00704044" w:rsidP="00704044">
      <w:pPr>
        <w:pStyle w:val="NormalWeb"/>
      </w:pPr>
      <w:r>
        <w:t>To gain a deeper understanding of fertilizer usage patterns and their implications, additional data and analysis would be valuable. This could include:</w:t>
      </w:r>
    </w:p>
    <w:p w:rsidR="00704044" w:rsidRDefault="00704044" w:rsidP="00704044">
      <w:pPr>
        <w:numPr>
          <w:ilvl w:val="0"/>
          <w:numId w:val="9"/>
        </w:numPr>
        <w:spacing w:before="100" w:beforeAutospacing="1" w:after="100" w:afterAutospacing="1" w:line="240" w:lineRule="auto"/>
      </w:pPr>
      <w:r>
        <w:rPr>
          <w:rStyle w:val="Strong"/>
        </w:rPr>
        <w:t>Crop Types:</w:t>
      </w:r>
      <w:r>
        <w:t xml:space="preserve"> Examining the types of crops grown in each region could provide insights into the specific fertilizer needs of different agricultural practices.</w:t>
      </w:r>
    </w:p>
    <w:p w:rsidR="00704044" w:rsidRDefault="00704044" w:rsidP="00704044">
      <w:pPr>
        <w:numPr>
          <w:ilvl w:val="0"/>
          <w:numId w:val="9"/>
        </w:numPr>
        <w:spacing w:before="100" w:beforeAutospacing="1" w:after="100" w:afterAutospacing="1" w:line="240" w:lineRule="auto"/>
      </w:pPr>
      <w:r>
        <w:rPr>
          <w:rStyle w:val="Strong"/>
        </w:rPr>
        <w:t>Soil Characteristics:</w:t>
      </w:r>
      <w:r>
        <w:t xml:space="preserve"> Analyzing soil properties (e.g., pH, nutrient content) could help explain regional variations in fertilizer usage.</w:t>
      </w:r>
    </w:p>
    <w:p w:rsidR="00704044" w:rsidRDefault="00704044" w:rsidP="00704044">
      <w:pPr>
        <w:numPr>
          <w:ilvl w:val="0"/>
          <w:numId w:val="9"/>
        </w:numPr>
        <w:spacing w:before="100" w:beforeAutospacing="1" w:after="100" w:afterAutospacing="1" w:line="240" w:lineRule="auto"/>
      </w:pPr>
      <w:r>
        <w:rPr>
          <w:rStyle w:val="Strong"/>
        </w:rPr>
        <w:t>Environmental Regulations:</w:t>
      </w:r>
      <w:r>
        <w:t xml:space="preserve"> Understanding fertilizer regulations and policies in different regions could shed light on factors influencing usage patterns.</w:t>
      </w:r>
    </w:p>
    <w:p w:rsidR="00704044" w:rsidRDefault="00704044" w:rsidP="00704044">
      <w:pPr>
        <w:numPr>
          <w:ilvl w:val="0"/>
          <w:numId w:val="9"/>
        </w:numPr>
        <w:spacing w:before="100" w:beforeAutospacing="1" w:after="100" w:afterAutospacing="1" w:line="240" w:lineRule="auto"/>
      </w:pPr>
      <w:r>
        <w:rPr>
          <w:rStyle w:val="Strong"/>
        </w:rPr>
        <w:t>Economic Factors:</w:t>
      </w:r>
      <w:r>
        <w:t xml:space="preserve"> Analyzing agricultural income, land prices, and other economic indicators could help assess the financial implications of fertilizer use.</w:t>
      </w:r>
    </w:p>
    <w:p w:rsidR="00704044" w:rsidRDefault="00704044" w:rsidP="00704044">
      <w:pPr>
        <w:tabs>
          <w:tab w:val="left" w:pos="8320"/>
        </w:tabs>
      </w:pPr>
      <w:r>
        <w:rPr>
          <w:noProof/>
        </w:rPr>
        <w:lastRenderedPageBreak/>
        <w:drawing>
          <wp:inline distT="0" distB="0" distL="0" distR="0">
            <wp:extent cx="5943600" cy="2673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73985"/>
                    </a:xfrm>
                    <a:prstGeom prst="rect">
                      <a:avLst/>
                    </a:prstGeom>
                  </pic:spPr>
                </pic:pic>
              </a:graphicData>
            </a:graphic>
          </wp:inline>
        </w:drawing>
      </w:r>
    </w:p>
    <w:p w:rsidR="00704044" w:rsidRPr="00704044" w:rsidRDefault="00704044" w:rsidP="00704044"/>
    <w:p w:rsidR="00704044" w:rsidRPr="00704044" w:rsidRDefault="00704044" w:rsidP="00704044"/>
    <w:p w:rsidR="00704044" w:rsidRDefault="00704044" w:rsidP="00704044"/>
    <w:p w:rsidR="00704044" w:rsidRDefault="00704044" w:rsidP="00704044">
      <w:pPr>
        <w:pStyle w:val="Heading2"/>
      </w:pPr>
      <w:r>
        <w:t>Analyzing Soil Health Index by Region</w:t>
      </w:r>
    </w:p>
    <w:p w:rsidR="00704044" w:rsidRDefault="00704044" w:rsidP="00704044">
      <w:pPr>
        <w:pStyle w:val="NormalWeb"/>
      </w:pPr>
      <w:r>
        <w:rPr>
          <w:rStyle w:val="Strong"/>
        </w:rPr>
        <w:t>Key Observations:</w:t>
      </w:r>
    </w:p>
    <w:p w:rsidR="00704044" w:rsidRDefault="00704044" w:rsidP="00704044">
      <w:pPr>
        <w:numPr>
          <w:ilvl w:val="0"/>
          <w:numId w:val="10"/>
        </w:numPr>
        <w:spacing w:before="100" w:beforeAutospacing="1" w:after="100" w:afterAutospacing="1" w:line="240" w:lineRule="auto"/>
      </w:pPr>
      <w:r>
        <w:rPr>
          <w:rStyle w:val="Strong"/>
        </w:rPr>
        <w:t>Regional Disparity:</w:t>
      </w:r>
      <w:r>
        <w:t xml:space="preserve"> There is a notable variation in soil health index values across the regions.</w:t>
      </w:r>
    </w:p>
    <w:p w:rsidR="00704044" w:rsidRDefault="00704044" w:rsidP="00704044">
      <w:pPr>
        <w:numPr>
          <w:ilvl w:val="0"/>
          <w:numId w:val="10"/>
        </w:numPr>
        <w:spacing w:before="100" w:beforeAutospacing="1" w:after="100" w:afterAutospacing="1" w:line="240" w:lineRule="auto"/>
      </w:pPr>
      <w:r>
        <w:rPr>
          <w:rStyle w:val="Strong"/>
        </w:rPr>
        <w:t>Top Regions:</w:t>
      </w:r>
      <w:r>
        <w:t xml:space="preserve"> "Ile-de-France," "British Columbia," and "Quebec" exhibit the highest soil health index scores.</w:t>
      </w:r>
    </w:p>
    <w:p w:rsidR="00704044" w:rsidRDefault="00704044" w:rsidP="00704044">
      <w:pPr>
        <w:numPr>
          <w:ilvl w:val="0"/>
          <w:numId w:val="10"/>
        </w:numPr>
        <w:spacing w:before="100" w:beforeAutospacing="1" w:after="100" w:afterAutospacing="1" w:line="240" w:lineRule="auto"/>
      </w:pPr>
      <w:r>
        <w:rPr>
          <w:rStyle w:val="Strong"/>
        </w:rPr>
        <w:t>Middling Regions:</w:t>
      </w:r>
      <w:r>
        <w:t xml:space="preserve"> "Provence-</w:t>
      </w:r>
      <w:proofErr w:type="spellStart"/>
      <w:r>
        <w:t>Alpes</w:t>
      </w:r>
      <w:proofErr w:type="spellEnd"/>
      <w:r>
        <w:t>-Cote d'Azur" and "Pampas" demonstrate moderate soil health levels.</w:t>
      </w:r>
    </w:p>
    <w:p w:rsidR="00704044" w:rsidRDefault="00704044" w:rsidP="00704044">
      <w:pPr>
        <w:numPr>
          <w:ilvl w:val="0"/>
          <w:numId w:val="10"/>
        </w:numPr>
        <w:spacing w:before="100" w:beforeAutospacing="1" w:after="100" w:afterAutospacing="1" w:line="240" w:lineRule="auto"/>
      </w:pPr>
      <w:r>
        <w:rPr>
          <w:rStyle w:val="Strong"/>
        </w:rPr>
        <w:t>Lower Performance:</w:t>
      </w:r>
      <w:r>
        <w:t xml:space="preserve"> The remaining regions, including "North Central," "Western Australia," "Northwestern," "Maharashtra," and "Southeast," have lower soil health index values.</w:t>
      </w:r>
    </w:p>
    <w:p w:rsidR="00704044" w:rsidRDefault="00704044" w:rsidP="00704044">
      <w:pPr>
        <w:pStyle w:val="NormalWeb"/>
      </w:pPr>
      <w:r>
        <w:rPr>
          <w:rStyle w:val="Strong"/>
        </w:rPr>
        <w:t>Potential Implications:</w:t>
      </w:r>
    </w:p>
    <w:p w:rsidR="00704044" w:rsidRDefault="00704044" w:rsidP="00704044">
      <w:pPr>
        <w:numPr>
          <w:ilvl w:val="0"/>
          <w:numId w:val="11"/>
        </w:numPr>
        <w:spacing w:before="100" w:beforeAutospacing="1" w:after="100" w:afterAutospacing="1" w:line="240" w:lineRule="auto"/>
      </w:pPr>
      <w:r>
        <w:rPr>
          <w:rStyle w:val="Strong"/>
        </w:rPr>
        <w:t>Agricultural Productivity:</w:t>
      </w:r>
      <w:r>
        <w:t xml:space="preserve"> Regions with higher soil health index scores may be more conducive to agricultural production, as healthy soils are essential for nutrient retention, water infiltration, and overall plant growth.</w:t>
      </w:r>
    </w:p>
    <w:p w:rsidR="00704044" w:rsidRDefault="00704044" w:rsidP="00704044">
      <w:pPr>
        <w:numPr>
          <w:ilvl w:val="0"/>
          <w:numId w:val="11"/>
        </w:numPr>
        <w:spacing w:before="100" w:beforeAutospacing="1" w:after="100" w:afterAutospacing="1" w:line="240" w:lineRule="auto"/>
      </w:pPr>
      <w:r>
        <w:rPr>
          <w:rStyle w:val="Strong"/>
        </w:rPr>
        <w:t>Environmental Sustainability:</w:t>
      </w:r>
      <w:r>
        <w:t xml:space="preserve"> Healthy soils play a crucial role in carbon sequestration, water filtration, and biodiversity conservation. Regions with lower soil health index values may face challenges related to environmental degradation.</w:t>
      </w:r>
    </w:p>
    <w:p w:rsidR="00704044" w:rsidRDefault="00704044" w:rsidP="00704044">
      <w:pPr>
        <w:numPr>
          <w:ilvl w:val="0"/>
          <w:numId w:val="11"/>
        </w:numPr>
        <w:spacing w:before="100" w:beforeAutospacing="1" w:after="100" w:afterAutospacing="1" w:line="240" w:lineRule="auto"/>
      </w:pPr>
      <w:r>
        <w:rPr>
          <w:rStyle w:val="Strong"/>
        </w:rPr>
        <w:t>Economic Factors:</w:t>
      </w:r>
      <w:r>
        <w:t xml:space="preserve"> Soil health can impact agricultural profitability, as healthy soils can lead to higher crop yields and reduced input costs.</w:t>
      </w:r>
    </w:p>
    <w:p w:rsidR="00704044" w:rsidRDefault="00704044" w:rsidP="00704044">
      <w:pPr>
        <w:numPr>
          <w:ilvl w:val="0"/>
          <w:numId w:val="11"/>
        </w:numPr>
        <w:spacing w:before="100" w:beforeAutospacing="1" w:after="100" w:afterAutospacing="1" w:line="240" w:lineRule="auto"/>
      </w:pPr>
      <w:r>
        <w:rPr>
          <w:rStyle w:val="Strong"/>
        </w:rPr>
        <w:t>Food Security:</w:t>
      </w:r>
      <w:r>
        <w:t xml:space="preserve"> Soil health is a critical factor in food security, as it directly influences agricultural productivity and the availability of food resources.</w:t>
      </w:r>
    </w:p>
    <w:p w:rsidR="00704044" w:rsidRDefault="00704044" w:rsidP="00704044">
      <w:pPr>
        <w:pStyle w:val="NormalWeb"/>
      </w:pPr>
      <w:r>
        <w:rPr>
          <w:rStyle w:val="Strong"/>
        </w:rPr>
        <w:lastRenderedPageBreak/>
        <w:t>Further Analysis:</w:t>
      </w:r>
    </w:p>
    <w:p w:rsidR="00704044" w:rsidRDefault="00704044" w:rsidP="00704044">
      <w:pPr>
        <w:pStyle w:val="NormalWeb"/>
      </w:pPr>
      <w:r>
        <w:t>To gain a deeper understanding of soil health variations and their implications, additional data and analysis would be valuable. This could include:</w:t>
      </w:r>
    </w:p>
    <w:p w:rsidR="00704044" w:rsidRDefault="00704044" w:rsidP="00704044">
      <w:pPr>
        <w:numPr>
          <w:ilvl w:val="0"/>
          <w:numId w:val="12"/>
        </w:numPr>
        <w:spacing w:before="100" w:beforeAutospacing="1" w:after="100" w:afterAutospacing="1" w:line="240" w:lineRule="auto"/>
      </w:pPr>
      <w:r>
        <w:rPr>
          <w:rStyle w:val="Strong"/>
        </w:rPr>
        <w:t>Soil Characteristics:</w:t>
      </w:r>
      <w:r>
        <w:t xml:space="preserve"> Examining specific soil properties (e.g., organic matter content, nutrient levels, pH) could provide insights into the factors driving regional differences in soil health.</w:t>
      </w:r>
    </w:p>
    <w:p w:rsidR="00704044" w:rsidRDefault="00704044" w:rsidP="00704044">
      <w:pPr>
        <w:numPr>
          <w:ilvl w:val="0"/>
          <w:numId w:val="12"/>
        </w:numPr>
        <w:spacing w:before="100" w:beforeAutospacing="1" w:after="100" w:afterAutospacing="1" w:line="240" w:lineRule="auto"/>
      </w:pPr>
      <w:r>
        <w:rPr>
          <w:rStyle w:val="Strong"/>
        </w:rPr>
        <w:t>Land Use Practices:</w:t>
      </w:r>
      <w:r>
        <w:t xml:space="preserve"> Analyzing land use patterns (e.g., agriculture, forestry, urban development) could help identify factors influencing soil health degradation or improvement.</w:t>
      </w:r>
    </w:p>
    <w:p w:rsidR="00704044" w:rsidRDefault="00704044" w:rsidP="00704044">
      <w:pPr>
        <w:numPr>
          <w:ilvl w:val="0"/>
          <w:numId w:val="12"/>
        </w:numPr>
        <w:spacing w:before="100" w:beforeAutospacing="1" w:after="100" w:afterAutospacing="1" w:line="240" w:lineRule="auto"/>
      </w:pPr>
      <w:r>
        <w:rPr>
          <w:rStyle w:val="Strong"/>
        </w:rPr>
        <w:t>Climate Change Impacts:</w:t>
      </w:r>
      <w:r>
        <w:t xml:space="preserve"> Assessing the effects of climate change on soil health, such as erosion, desertification, and changes in precipitation patterns, could provide valuable information for future planning and adaptation.</w:t>
      </w:r>
    </w:p>
    <w:p w:rsidR="00704044" w:rsidRDefault="00704044" w:rsidP="00704044">
      <w:pPr>
        <w:numPr>
          <w:ilvl w:val="0"/>
          <w:numId w:val="12"/>
        </w:numPr>
        <w:spacing w:before="100" w:beforeAutospacing="1" w:after="100" w:afterAutospacing="1" w:line="240" w:lineRule="auto"/>
      </w:pPr>
      <w:r>
        <w:rPr>
          <w:rStyle w:val="Strong"/>
        </w:rPr>
        <w:t>Policy and Governance:</w:t>
      </w:r>
      <w:r>
        <w:t xml:space="preserve"> Examining agricultural policies, land management practices, and governance structures could help identify opportunities for improving soil health and promoting sustainable land use.</w:t>
      </w:r>
    </w:p>
    <w:p w:rsidR="00527521" w:rsidRPr="00704044" w:rsidRDefault="00527521" w:rsidP="00704044">
      <w:pPr>
        <w:tabs>
          <w:tab w:val="left" w:pos="2280"/>
        </w:tabs>
      </w:pPr>
      <w:bookmarkStart w:id="0" w:name="_GoBack"/>
      <w:bookmarkEnd w:id="0"/>
    </w:p>
    <w:sectPr w:rsidR="00527521" w:rsidRPr="00704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74173"/>
    <w:multiLevelType w:val="multilevel"/>
    <w:tmpl w:val="4C9E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04457"/>
    <w:multiLevelType w:val="multilevel"/>
    <w:tmpl w:val="0D4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03364A"/>
    <w:multiLevelType w:val="multilevel"/>
    <w:tmpl w:val="FC9A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B26D4"/>
    <w:multiLevelType w:val="multilevel"/>
    <w:tmpl w:val="8F16B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B63E76"/>
    <w:multiLevelType w:val="multilevel"/>
    <w:tmpl w:val="E86C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F3509C"/>
    <w:multiLevelType w:val="multilevel"/>
    <w:tmpl w:val="78D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4018FC"/>
    <w:multiLevelType w:val="multilevel"/>
    <w:tmpl w:val="6E1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A96016"/>
    <w:multiLevelType w:val="multilevel"/>
    <w:tmpl w:val="0A52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C56C3B"/>
    <w:multiLevelType w:val="multilevel"/>
    <w:tmpl w:val="E4A2B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DA0054"/>
    <w:multiLevelType w:val="multilevel"/>
    <w:tmpl w:val="73E0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32EB9"/>
    <w:multiLevelType w:val="multilevel"/>
    <w:tmpl w:val="7BF8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020430"/>
    <w:multiLevelType w:val="multilevel"/>
    <w:tmpl w:val="C12C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8"/>
  </w:num>
  <w:num w:numId="4">
    <w:abstractNumId w:val="2"/>
  </w:num>
  <w:num w:numId="5">
    <w:abstractNumId w:val="10"/>
  </w:num>
  <w:num w:numId="6">
    <w:abstractNumId w:val="11"/>
  </w:num>
  <w:num w:numId="7">
    <w:abstractNumId w:val="5"/>
  </w:num>
  <w:num w:numId="8">
    <w:abstractNumId w:val="1"/>
  </w:num>
  <w:num w:numId="9">
    <w:abstractNumId w:val="4"/>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2D"/>
    <w:rsid w:val="000D134A"/>
    <w:rsid w:val="00527521"/>
    <w:rsid w:val="00704044"/>
    <w:rsid w:val="008D5241"/>
    <w:rsid w:val="00D01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4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7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7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521"/>
    <w:rPr>
      <w:rFonts w:ascii="Tahoma" w:hAnsi="Tahoma" w:cs="Tahoma"/>
      <w:sz w:val="16"/>
      <w:szCs w:val="16"/>
    </w:rPr>
  </w:style>
  <w:style w:type="character" w:customStyle="1" w:styleId="Heading3Char">
    <w:name w:val="Heading 3 Char"/>
    <w:basedOn w:val="DefaultParagraphFont"/>
    <w:link w:val="Heading3"/>
    <w:uiPriority w:val="9"/>
    <w:rsid w:val="005275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75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27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521"/>
    <w:rPr>
      <w:b/>
      <w:bCs/>
    </w:rPr>
  </w:style>
  <w:style w:type="character" w:customStyle="1" w:styleId="Heading2Char">
    <w:name w:val="Heading 2 Char"/>
    <w:basedOn w:val="DefaultParagraphFont"/>
    <w:link w:val="Heading2"/>
    <w:uiPriority w:val="9"/>
    <w:semiHidden/>
    <w:rsid w:val="0070404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040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275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75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521"/>
    <w:rPr>
      <w:rFonts w:ascii="Tahoma" w:hAnsi="Tahoma" w:cs="Tahoma"/>
      <w:sz w:val="16"/>
      <w:szCs w:val="16"/>
    </w:rPr>
  </w:style>
  <w:style w:type="character" w:customStyle="1" w:styleId="Heading3Char">
    <w:name w:val="Heading 3 Char"/>
    <w:basedOn w:val="DefaultParagraphFont"/>
    <w:link w:val="Heading3"/>
    <w:uiPriority w:val="9"/>
    <w:rsid w:val="005275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75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2752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7521"/>
    <w:rPr>
      <w:b/>
      <w:bCs/>
    </w:rPr>
  </w:style>
  <w:style w:type="character" w:customStyle="1" w:styleId="Heading2Char">
    <w:name w:val="Heading 2 Char"/>
    <w:basedOn w:val="DefaultParagraphFont"/>
    <w:link w:val="Heading2"/>
    <w:uiPriority w:val="9"/>
    <w:semiHidden/>
    <w:rsid w:val="0070404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31856">
      <w:bodyDiv w:val="1"/>
      <w:marLeft w:val="0"/>
      <w:marRight w:val="0"/>
      <w:marTop w:val="0"/>
      <w:marBottom w:val="0"/>
      <w:divBdr>
        <w:top w:val="none" w:sz="0" w:space="0" w:color="auto"/>
        <w:left w:val="none" w:sz="0" w:space="0" w:color="auto"/>
        <w:bottom w:val="none" w:sz="0" w:space="0" w:color="auto"/>
        <w:right w:val="none" w:sz="0" w:space="0" w:color="auto"/>
      </w:divBdr>
    </w:div>
    <w:div w:id="624197278">
      <w:bodyDiv w:val="1"/>
      <w:marLeft w:val="0"/>
      <w:marRight w:val="0"/>
      <w:marTop w:val="0"/>
      <w:marBottom w:val="0"/>
      <w:divBdr>
        <w:top w:val="none" w:sz="0" w:space="0" w:color="auto"/>
        <w:left w:val="none" w:sz="0" w:space="0" w:color="auto"/>
        <w:bottom w:val="none" w:sz="0" w:space="0" w:color="auto"/>
        <w:right w:val="none" w:sz="0" w:space="0" w:color="auto"/>
      </w:divBdr>
    </w:div>
    <w:div w:id="1675105567">
      <w:bodyDiv w:val="1"/>
      <w:marLeft w:val="0"/>
      <w:marRight w:val="0"/>
      <w:marTop w:val="0"/>
      <w:marBottom w:val="0"/>
      <w:divBdr>
        <w:top w:val="none" w:sz="0" w:space="0" w:color="auto"/>
        <w:left w:val="none" w:sz="0" w:space="0" w:color="auto"/>
        <w:bottom w:val="none" w:sz="0" w:space="0" w:color="auto"/>
        <w:right w:val="none" w:sz="0" w:space="0" w:color="auto"/>
      </w:divBdr>
    </w:div>
    <w:div w:id="1978291395">
      <w:bodyDiv w:val="1"/>
      <w:marLeft w:val="0"/>
      <w:marRight w:val="0"/>
      <w:marTop w:val="0"/>
      <w:marBottom w:val="0"/>
      <w:divBdr>
        <w:top w:val="none" w:sz="0" w:space="0" w:color="auto"/>
        <w:left w:val="none" w:sz="0" w:space="0" w:color="auto"/>
        <w:bottom w:val="none" w:sz="0" w:space="0" w:color="auto"/>
        <w:right w:val="none" w:sz="0" w:space="0" w:color="auto"/>
      </w:divBdr>
    </w:div>
    <w:div w:id="212985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9</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swp</dc:creator>
  <cp:keywords/>
  <dc:description/>
  <cp:lastModifiedBy>swp</cp:lastModifiedBy>
  <cp:revision>2</cp:revision>
  <dcterms:created xsi:type="dcterms:W3CDTF">2024-09-07T17:34:00Z</dcterms:created>
  <dcterms:modified xsi:type="dcterms:W3CDTF">2024-09-07T17:49:00Z</dcterms:modified>
</cp:coreProperties>
</file>