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bookmarkStart w:id="0" w:name="_GoBack"/>
      <w:bookmarkEnd w:id="0"/>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141</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144</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148</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151</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85086"/>
                  <wp:docPr id="11271" name="Picture 11271"/>
                  <wp:cNvGraphicFramePr>
                    <a:graphicFrameLocks noChangeAspect="1"/>
                  </wp:cNvGraphicFramePr>
                  <a:graphic>
                    <a:graphicData uri="http://schemas.openxmlformats.org/drawingml/2006/picture">
                      <pic:pic>
                        <pic:nvPicPr>
                          <pic:cNvPr id="0" name="Program22_part1.png"/>
                          <pic:cNvPicPr/>
                        </pic:nvPicPr>
                        <pic:blipFill>
                          <a:blip r:embed="rId27"/>
                          <a:stretch>
                            <a:fillRect/>
                          </a:stretch>
                        </pic:blipFill>
                        <pic:spPr>
                          <a:xfrm>
                            <a:off x="0" y="0"/>
                            <a:ext cx="4480560" cy="2285086"/>
                          </a:xfrm>
                          <a:prstGeom prst="rect"/>
                        </pic:spPr>
                      </pic:pic>
                    </a:graphicData>
                  </a:graphic>
                </wp:inline>
              </w:drawing>
            </w:r>
          </w:p>
          <w:p>
            <w:pPr>
              <w:spacing w:before="40" w:after="40"/>
              <w:jc w:val="center"/>
            </w:pPr>
            <w:r>
              <w:rPr>
                <w:rFonts w:ascii="Times New Roman" w:hAnsi="Times New Roman"/>
                <w:b/>
                <w:i/>
                <w:sz w:val="17"/>
              </w:rPr>
              <w:t>Fig. 1.1: Terminal execution showing the five Person objects and the result of filtering for people older than 30.</w:t>
            </w:r>
          </w:p>
          <w:p>
            <w:pPr>
              <w:spacing w:before="20" w:after="60"/>
              <w:jc w:val="both"/>
            </w:pPr>
            <w:r>
              <w:rPr>
                <w:rFonts w:ascii="Times New Roman" w:hAnsi="Times New Roman"/>
                <w:sz w:val="17"/>
              </w:rPr>
              <w:t>The five Person objects are printed first, confirming that the case class apply method constructs instances without the new keyword. The filter function then keeps only Amit, Neha and Sara, so the console reports three people older than 30 out of five records.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2" name="Picture 11272"/>
                  <wp:cNvGraphicFramePr>
                    <a:graphicFrameLocks noChangeAspect="1"/>
                  </wp:cNvGraphicFramePr>
                  <a:graphic>
                    <a:graphicData uri="http://schemas.openxmlformats.org/drawingml/2006/picture">
                      <pic:pic>
                        <pic:nvPicPr>
                          <pic:cNvPr id="0" name="Program22_part2.png"/>
                          <pic:cNvPicPr/>
                        </pic:nvPicPr>
                        <pic:blipFill>
                          <a:blip r:embed="rId28"/>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1.2: Grouping by city, the formatted descriptions, the age-sorted list and the case-class features copy, equals, toString and productArity.</w:t>
            </w:r>
          </w:p>
          <w:p>
            <w:pPr>
              <w:spacing w:before="20" w:after="60"/>
              <w:jc w:val="both"/>
            </w:pPr>
            <w:r>
              <w:rPr>
                <w:rFonts w:ascii="Times New Roman" w:hAnsi="Times New Roman"/>
                <w:sz w:val="17"/>
              </w:rPr>
              <w:t>Grouping by city splits the list into Delhi, Mumbai and Pune, with the member names shown for each. The descriptions follow the exact sentence form required by the problem statement, the ages are listed in ascending order from 22 to 41, and the last block shows the copy, equals, toString and productArity members that every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case classes: </w:t>
            </w:r>
            <w:hyperlink r:id="rId29">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30">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4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FFFFFF"/>
          </w:tcPr>
          <w:p>
            <w:pPr>
              <w:spacing w:before="0" w:after="0" w:line="240" w:lineRule="auto"/>
            </w:pPr>
            <w:r/>
            <w:r>
              <w:rPr>
                <w:rFonts w:ascii="Times New Roman" w:hAnsi="Times New Roman"/>
                <w:b w:val="0"/>
                <w:color w:val="000000"/>
                <w:sz w:val="20"/>
              </w:rPr>
              <w:t>Vega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629254"/>
                  <wp:docPr id="11273" name="Picture 11273"/>
                  <wp:cNvGraphicFramePr>
                    <a:graphicFrameLocks noChangeAspect="1"/>
                  </wp:cNvGraphicFramePr>
                  <a:graphic>
                    <a:graphicData uri="http://schemas.openxmlformats.org/drawingml/2006/picture">
                      <pic:pic>
                        <pic:nvPicPr>
                          <pic:cNvPr id="0" name="Program23_part1.png"/>
                          <pic:cNvPicPr/>
                        </pic:nvPicPr>
                        <pic:blipFill>
                          <a:blip r:embed="rId34"/>
                          <a:stretch>
                            <a:fillRect/>
                          </a:stretch>
                        </pic:blipFill>
                        <pic:spPr>
                          <a:xfrm>
                            <a:off x="0" y="0"/>
                            <a:ext cx="4480560" cy="3629254"/>
                          </a:xfrm>
                          <a:prstGeom prst="rect"/>
                        </pic:spPr>
                      </pic:pic>
                    </a:graphicData>
                  </a:graphic>
                </wp:inline>
              </w:drawing>
            </w:r>
          </w:p>
          <w:p>
            <w:pPr>
              <w:spacing w:before="40" w:after="40"/>
              <w:jc w:val="center"/>
            </w:pPr>
            <w:r>
              <w:rPr>
                <w:rFonts w:ascii="Times New Roman" w:hAnsi="Times New Roman"/>
                <w:b/>
                <w:i/>
                <w:sz w:val="17"/>
              </w:rPr>
              <w:t>Fig. 2.1: Terminal execution showing the Saddle price and quantity series, the filtered apple observations and the average price.</w:t>
            </w:r>
          </w:p>
          <w:p>
            <w:pPr>
              <w:spacing w:before="20" w:after="60"/>
              <w:jc w:val="both"/>
            </w:pPr>
            <w:r>
              <w:rPr>
                <w:rFonts w:ascii="Times New Roman" w:hAnsi="Times New Roman"/>
                <w:sz w:val="17"/>
              </w:rPr>
              <w:t>Two Saddle Series are built and printed with their day labels, which shows how Saddle keeps an index attached to the values. Selecting the apple rows returns all seven observations, and the reduction printed underneath gives the average price 126.86.</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001975"/>
                  <wp:docPr id="11274" name="Picture 11274"/>
                  <wp:cNvGraphicFramePr>
                    <a:graphicFrameLocks noChangeAspect="1"/>
                  </wp:cNvGraphicFramePr>
                  <a:graphic>
                    <a:graphicData uri="http://schemas.openxmlformats.org/drawingml/2006/picture">
                      <pic:pic>
                        <pic:nvPicPr>
                          <pic:cNvPr id="0" name="Program23_part2.png"/>
                          <pic:cNvPicPr/>
                        </pic:nvPicPr>
                        <pic:blipFill>
                          <a:blip r:embed="rId35"/>
                          <a:stretch>
                            <a:fillRect/>
                          </a:stretch>
                        </pic:blipFill>
                        <pic:spPr>
                          <a:xfrm>
                            <a:off x="0" y="0"/>
                            <a:ext cx="4480560" cy="3001975"/>
                          </a:xfrm>
                          <a:prstGeom prst="rect"/>
                        </pic:spPr>
                      </pic:pic>
                    </a:graphicData>
                  </a:graphic>
                </wp:inline>
              </w:drawing>
            </w:r>
          </w:p>
          <w:p>
            <w:pPr>
              <w:spacing w:before="40" w:after="40"/>
              <w:jc w:val="center"/>
            </w:pPr>
            <w:r>
              <w:rPr>
                <w:rFonts w:ascii="Times New Roman" w:hAnsi="Times New Roman"/>
                <w:b/>
                <w:i/>
                <w:sz w:val="17"/>
              </w:rPr>
              <w:t>Fig. 2.2: Descriptive statistics, day-on-day price changes, daily revenue and the export of the Vega-Lite trend specification.</w:t>
            </w:r>
          </w:p>
          <w:p>
            <w:pPr>
              <w:spacing w:before="20" w:after="60"/>
              <w:jc w:val="both"/>
            </w:pPr>
            <w:r>
              <w:rPr>
                <w:rFonts w:ascii="Times New Roman" w:hAnsi="Times New Roman"/>
                <w:sz w:val="17"/>
              </w:rPr>
              <w:t>The count, minimum, maximum and sum summarise the filtered series, and the day-on-day block marks every price movement as UP or DOWN. Multiplying the price and quantity series gives the daily revenue, and the last line confirms that the Vega-Lite trend specification was written to disk.</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37">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38">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FFFFFF"/>
          </w:tcPr>
          <w:p>
            <w:pPr>
              <w:spacing w:before="0" w:after="0" w:line="240" w:lineRule="auto"/>
            </w:pPr>
            <w:r/>
            <w:r>
              <w:rPr>
                <w:rFonts w:ascii="Times New Roman" w:hAnsi="Times New Roman"/>
                <w:b w:val="0"/>
                <w:color w:val="000000"/>
                <w:sz w:val="20"/>
              </w:rPr>
              <w:t>breeze.stats</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FFFFFF"/>
          </w:tcPr>
          <w:p>
            <w:pPr>
              <w:spacing w:before="0" w:after="0" w:line="240" w:lineRule="auto"/>
            </w:pPr>
            <w:r/>
            <w:r>
              <w:rPr>
                <w:rFonts w:ascii="Times New Roman" w:hAnsi="Times New Roman"/>
                <w:b w:val="0"/>
                <w:color w:val="000000"/>
                <w:sz w:val="20"/>
              </w:rPr>
              <w:t>Plotly.js</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837030"/>
                  <wp:docPr id="11275" name="Picture 11275"/>
                  <wp:cNvGraphicFramePr>
                    <a:graphicFrameLocks noChangeAspect="1"/>
                  </wp:cNvGraphicFramePr>
                  <a:graphic>
                    <a:graphicData uri="http://schemas.openxmlformats.org/drawingml/2006/picture">
                      <pic:pic>
                        <pic:nvPicPr>
                          <pic:cNvPr id="0" name="Program24_part1.png"/>
                          <pic:cNvPicPr/>
                        </pic:nvPicPr>
                        <pic:blipFill>
                          <a:blip r:embed="rId41"/>
                          <a:stretch>
                            <a:fillRect/>
                          </a:stretch>
                        </pic:blipFill>
                        <pic:spPr>
                          <a:xfrm>
                            <a:off x="0" y="0"/>
                            <a:ext cx="4480560" cy="1837030"/>
                          </a:xfrm>
                          <a:prstGeom prst="rect"/>
                        </pic:spPr>
                      </pic:pic>
                    </a:graphicData>
                  </a:graphic>
                </wp:inline>
              </w:drawing>
            </w:r>
          </w:p>
          <w:p>
            <w:pPr>
              <w:spacing w:before="40" w:after="40"/>
              <w:jc w:val="center"/>
            </w:pPr>
            <w:r>
              <w:rPr>
                <w:rFonts w:ascii="Times New Roman" w:hAnsi="Times New Roman"/>
                <w:b/>
                <w:i/>
                <w:sz w:val="17"/>
              </w:rPr>
              <w:t>Fig. 3.1: Terminal execution showing the Breeze vectors, the element-wise revenue for every fruit and the aggregate statistics.</w:t>
            </w:r>
          </w:p>
          <w:p>
            <w:pPr>
              <w:spacing w:before="20" w:after="60"/>
              <w:jc w:val="both"/>
            </w:pPr>
            <w:r>
              <w:rPr>
                <w:rFonts w:ascii="Times New Roman" w:hAnsi="Times New Roman"/>
                <w:sz w:val="17"/>
              </w:rPr>
              <w:t>The two Breeze DenseVectors are shown exactly as the library prints them. The element-wise product row by row gives the revenue of each fruit, followed by the reductions: total 21150, mean 4230, maximum 6000 for Apple and minimum 3600 shared by Banana and Mango.</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374697"/>
                  <wp:docPr id="11276" name="Picture 11276"/>
                  <wp:cNvGraphicFramePr>
                    <a:graphicFrameLocks noChangeAspect="1"/>
                  </wp:cNvGraphicFramePr>
                  <a:graphic>
                    <a:graphicData uri="http://schemas.openxmlformats.org/drawingml/2006/picture">
                      <pic:pic>
                        <pic:nvPicPr>
                          <pic:cNvPr id="0" name="Program24_part2.png"/>
                          <pic:cNvPicPr/>
                        </pic:nvPicPr>
                        <pic:blipFill>
                          <a:blip r:embed="rId42"/>
                          <a:stretch>
                            <a:fillRect/>
                          </a:stretch>
                        </pic:blipFill>
                        <pic:spPr>
                          <a:xfrm>
                            <a:off x="0" y="0"/>
                            <a:ext cx="4480560" cy="2374697"/>
                          </a:xfrm>
                          <a:prstGeom prst="rect"/>
                        </pic:spPr>
                      </pic:pic>
                    </a:graphicData>
                  </a:graphic>
                </wp:inline>
              </w:drawing>
            </w:r>
          </w:p>
          <w:p>
            <w:pPr>
              <w:spacing w:before="40" w:after="40"/>
              <w:jc w:val="center"/>
            </w:pPr>
            <w:r>
              <w:rPr>
                <w:rFonts w:ascii="Times New Roman" w:hAnsi="Times New Roman"/>
                <w:b/>
                <w:i/>
                <w:sz w:val="17"/>
              </w:rPr>
              <w:t>Fig. 3.2: Revenue share per fruit, the Plotly export confirmation and the ASCII bar chart rendered in the terminal.</w:t>
            </w:r>
          </w:p>
          <w:p>
            <w:pPr>
              <w:spacing w:before="20" w:after="60"/>
              <w:jc w:val="both"/>
            </w:pPr>
            <w:r>
              <w:rPr>
                <w:rFonts w:ascii="Times New Roman" w:hAnsi="Times New Roman"/>
                <w:sz w:val="17"/>
              </w:rPr>
              <w:t>The revenue share expresses each fruit as a percentage of the total, with Apple leading at 28.37 percent. The Plotly export line confirms the HTML chart was written, and the ASCII bars reproduce the same comparison in the terminal so the chart is visible in this record without opening a browser.</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Breeze documentation: </w:t>
            </w:r>
            <w:hyperlink r:id="rId43">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44">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45">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39"/>
          <w:footerReference w:type="default" r:id="rId4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 * /</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95474"/>
                  <wp:docPr id="11277" name="Picture 11277"/>
                  <wp:cNvGraphicFramePr>
                    <a:graphicFrameLocks noChangeAspect="1"/>
                  </wp:cNvGraphicFramePr>
                  <a:graphic>
                    <a:graphicData uri="http://schemas.openxmlformats.org/drawingml/2006/picture">
                      <pic:pic>
                        <pic:nvPicPr>
                          <pic:cNvPr id="0" name="Program25_part1.png"/>
                          <pic:cNvPicPr/>
                        </pic:nvPicPr>
                        <pic:blipFill>
                          <a:blip r:embed="rId48"/>
                          <a:stretch>
                            <a:fillRect/>
                          </a:stretch>
                        </pic:blipFill>
                        <pic:spPr>
                          <a:xfrm>
                            <a:off x="0" y="0"/>
                            <a:ext cx="4480560" cy="2195474"/>
                          </a:xfrm>
                          <a:prstGeom prst="rect"/>
                        </pic:spPr>
                      </pic:pic>
                    </a:graphicData>
                  </a:graphic>
                </wp:inline>
              </w:drawing>
            </w:r>
          </w:p>
          <w:p>
            <w:pPr>
              <w:spacing w:before="40" w:after="40"/>
              <w:jc w:val="center"/>
            </w:pPr>
            <w:r>
              <w:rPr>
                <w:rFonts w:ascii="Times New Roman" w:hAnsi="Times New Roman"/>
                <w:b/>
                <w:i/>
                <w:sz w:val="17"/>
              </w:rPr>
              <w:t>Fig. 4.1: Terminal execution showing the Saddle price series, the apple and banana subsets and the exact Spire statistics.</w:t>
            </w:r>
          </w:p>
          <w:p>
            <w:pPr>
              <w:spacing w:before="20" w:after="60"/>
              <w:jc w:val="both"/>
            </w:pPr>
            <w:r>
              <w:rPr>
                <w:rFonts w:ascii="Times New Roman" w:hAnsi="Times New Roman"/>
                <w:sz w:val="17"/>
              </w:rPr>
              <w:t>The ten price readings are printed as one indexed Saddle Series. Row selection then splits them into the five apples and the five bananas, which are echoed back as plain vectors before any arithmetic is applied.</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8" name="Picture 11278"/>
                  <wp:cNvGraphicFramePr>
                    <a:graphicFrameLocks noChangeAspect="1"/>
                  </wp:cNvGraphicFramePr>
                  <a:graphic>
                    <a:graphicData uri="http://schemas.openxmlformats.org/drawingml/2006/picture">
                      <pic:pic>
                        <pic:nvPicPr>
                          <pic:cNvPr id="0" name="Program25_part2.png"/>
                          <pic:cNvPicPr/>
                        </pic:nvPicPr>
                        <pic:blipFill>
                          <a:blip r:embed="rId49"/>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4.2: Comparison of the exact and floating-point means, the comparison table and the export of the Vega-Lite trend specification.</w:t>
            </w:r>
          </w:p>
          <w:p>
            <w:pPr>
              <w:spacing w:before="20" w:after="60"/>
              <w:jc w:val="both"/>
            </w:pPr>
            <w:r>
              <w:rPr>
                <w:rFonts w:ascii="Times New Roman" w:hAnsi="Times New Roman"/>
                <w:sz w:val="17"/>
              </w:rPr>
              <w:t>Spire Rational returns the mean and variance as exact fractions rather than decimals, and each fraction is printed beside its decimal equivalent. The cross-check section compares those exact means with Saddle's floating-point mean and reports a difference of exactly zero for both fruits, after which the comparison table and the trend export complete the run.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Spire documentation: </w:t>
            </w:r>
            <w:hyperlink r:id="rId50">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51">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46"/>
      <w:footerReference w:type="default" r:id="rId47"/>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15/10/2026</w:t>
    </w:r>
    <w:r>
      <w:rPr>
        <w:rFonts w:ascii="Times New Roman" w:hAnsi="Times New Roman"/>
        <w:b/>
        <w:sz w:val="24"/>
      </w:rPr>
      <w:tab/>
      <w:t>Week No.: 13</w:t>
    </w:r>
    <w:r>
      <w:rPr>
        <w:rFonts w:ascii="Times New Roman" w:hAnsi="Times New Roman"/>
        <w:b/>
        <w:sz w:val="24"/>
      </w:rPr>
      <w:tab/>
      <w:t>Program S. No. 23</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24</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22/10/2026</w:t>
    </w:r>
    <w:r>
      <w:rPr>
        <w:rFonts w:ascii="Times New Roman" w:hAnsi="Times New Roman"/>
        <w:b/>
        <w:sz w:val="24"/>
      </w:rPr>
      <w:tab/>
      <w:t>Week No.: 14</w:t>
    </w:r>
    <w:r>
      <w:rPr>
        <w:rFonts w:ascii="Times New Roman" w:hAnsi="Times New Roman"/>
        <w:b/>
        <w:sz w:val="24"/>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docs.scala-lang.org/tour/case-classes.html" TargetMode="External"/><Relationship Id="rId30" Type="http://schemas.openxmlformats.org/officeDocument/2006/relationships/hyperlink" Target="https://docs.scala-lang.org/overviews/collections/operations.html" TargetMode="External"/><Relationship Id="rId31" Type="http://schemas.openxmlformats.org/officeDocument/2006/relationships/hyperlink" Target="https://github.com/hasnainmakada-99/Data-Science-Codes/blob/main/WEEK%2010/programs/Program22_CaseClasse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saddle.github.io/" TargetMode="External"/><Relationship Id="rId37" Type="http://schemas.openxmlformats.org/officeDocument/2006/relationships/hyperlink" Target="https://vega.github.io/vega-lite/" TargetMode="External"/><Relationship Id="rId38" Type="http://schemas.openxmlformats.org/officeDocument/2006/relationships/hyperlink" Target="https://github.com/hasnainmakada-99/Data-Science-Codes/blob/main/WEEK%2010/programs/Program23_SaddleVegas.scala" TargetMode="Externa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yperlink" Target="https://github.com/scalanlp/breeze" TargetMode="External"/><Relationship Id="rId44" Type="http://schemas.openxmlformats.org/officeDocument/2006/relationships/hyperlink" Target="https://plotly.com/javascript/" TargetMode="External"/><Relationship Id="rId45" Type="http://schemas.openxmlformats.org/officeDocument/2006/relationships/hyperlink" Target="https://github.com/hasnainmakada-99/Data-Science-Codes/blob/main/WEEK%2010/programs/Program24_Breeze.scala" TargetMode="External"/><Relationship Id="rId46" Type="http://schemas.openxmlformats.org/officeDocument/2006/relationships/header" Target="header6.xml"/><Relationship Id="rId47" Type="http://schemas.openxmlformats.org/officeDocument/2006/relationships/footer" Target="footer6.xml"/><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hyperlink" Target="https://typelevel.org/spire/" TargetMode="External"/><Relationship Id="rId51"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