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Banking Loan Application Process Transformation</w:t>
      </w:r>
    </w:p>
    <w:p>
      <w:r>
        <w:t>Hassaan Hameedi | Business Analyst and Data Analyst portfolio</w:t>
      </w:r>
    </w:p>
    <w:p>
      <w:r>
        <w:t>Independent simulation. Fictional bank and synthetic data. Analysis complete; proposed changes have not been implemented.</w:t>
      </w:r>
    </w:p>
    <w:p>
      <w:pPr>
        <w:pStyle w:val="Heading2"/>
      </w:pPr>
      <w:r>
        <w:rPr>
          <w:color w:val="000000"/>
        </w:rPr>
        <w:t>The business question</w:t>
      </w:r>
    </w:p>
    <w:p>
      <w:r>
        <w:t>How could a bank reduce avoidable waiting between receiving a personal loan application and recording a decision, while keeping review controls and visibility into unfinished work?</w:t>
      </w:r>
    </w:p>
    <w:p>
      <w:pPr>
        <w:pStyle w:val="Heading2"/>
      </w:pPr>
      <w:r>
        <w:rPr>
          <w:color w:val="000000"/>
        </w:rPr>
        <w:t>What the analysis found</w:t>
      </w:r>
    </w:p>
    <w:tbl>
      <w:tblPr>
        <w:tblStyle w:val="LightShading-Accent1"/>
        <w:tblW w:type="auto" w:w="0"/>
        <w:tblLook w:firstColumn="1" w:firstRow="1" w:lastColumn="0" w:lastRow="0" w:noHBand="0" w:noVBand="1" w:val="04A0"/>
      </w:tblPr>
      <w:tblGrid>
        <w:gridCol w:w="5040"/>
        <w:gridCol w:w="5040"/>
      </w:tblGrid>
      <w:tr>
        <w:trPr>
          <w:cantSplit/>
          <w:tblHeader/>
        </w:trPr>
        <w:tc>
          <w:tcPr>
            <w:tcW w:type="dxa" w:w="5040"/>
          </w:tcPr>
          <w:p>
            <w:pPr>
              <w:spacing w:after="80"/>
            </w:pPr>
            <w:r>
              <w:rPr>
                <w:sz w:val="20"/>
              </w:rPr>
              <w:t>Measure</w:t>
            </w:r>
          </w:p>
        </w:tc>
        <w:tc>
          <w:tcPr>
            <w:tcW w:type="dxa" w:w="5040"/>
          </w:tcPr>
          <w:p>
            <w:pPr>
              <w:spacing w:after="80"/>
            </w:pPr>
            <w:r>
              <w:rPr>
                <w:sz w:val="20"/>
              </w:rPr>
              <w:t>Synthetic baseline</w:t>
            </w:r>
          </w:p>
        </w:tc>
      </w:tr>
      <w:tr>
        <w:trPr>
          <w:cantSplit/>
        </w:trPr>
        <w:tc>
          <w:tcPr>
            <w:tcW w:type="dxa" w:w="5040"/>
          </w:tcPr>
          <w:p>
            <w:pPr>
              <w:spacing w:after="80"/>
            </w:pPr>
            <w:r>
              <w:rPr>
                <w:sz w:val="20"/>
              </w:rPr>
              <w:t>Applications submitted</w:t>
            </w:r>
          </w:p>
        </w:tc>
        <w:tc>
          <w:tcPr>
            <w:tcW w:type="dxa" w:w="5040"/>
          </w:tcPr>
          <w:p>
            <w:pPr>
              <w:spacing w:after="80"/>
            </w:pPr>
            <w:r>
              <w:rPr>
                <w:sz w:val="20"/>
              </w:rPr>
              <w:t>600</w:t>
            </w:r>
          </w:p>
        </w:tc>
      </w:tr>
      <w:tr>
        <w:trPr>
          <w:cantSplit/>
        </w:trPr>
        <w:tc>
          <w:tcPr>
            <w:tcW w:type="dxa" w:w="5040"/>
          </w:tcPr>
          <w:p>
            <w:pPr>
              <w:spacing w:after="80"/>
            </w:pPr>
            <w:r>
              <w:rPr>
                <w:sz w:val="20"/>
              </w:rPr>
              <w:t>Completed decisions</w:t>
            </w:r>
          </w:p>
        </w:tc>
        <w:tc>
          <w:tcPr>
            <w:tcW w:type="dxa" w:w="5040"/>
          </w:tcPr>
          <w:p>
            <w:pPr>
              <w:spacing w:after="80"/>
            </w:pPr>
            <w:r>
              <w:rPr>
                <w:sz w:val="20"/>
              </w:rPr>
              <w:t>505</w:t>
            </w:r>
          </w:p>
        </w:tc>
      </w:tr>
      <w:tr>
        <w:trPr>
          <w:cantSplit/>
        </w:trPr>
        <w:tc>
          <w:tcPr>
            <w:tcW w:type="dxa" w:w="5040"/>
          </w:tcPr>
          <w:p>
            <w:pPr>
              <w:spacing w:after="80"/>
            </w:pPr>
            <w:r>
              <w:rPr>
                <w:sz w:val="20"/>
              </w:rPr>
              <w:t>Open / withdrawn</w:t>
            </w:r>
          </w:p>
        </w:tc>
        <w:tc>
          <w:tcPr>
            <w:tcW w:type="dxa" w:w="5040"/>
          </w:tcPr>
          <w:p>
            <w:pPr>
              <w:spacing w:after="80"/>
            </w:pPr>
            <w:r>
              <w:rPr>
                <w:sz w:val="20"/>
              </w:rPr>
              <w:t>61 / 34</w:t>
            </w:r>
          </w:p>
        </w:tc>
      </w:tr>
      <w:tr>
        <w:trPr>
          <w:cantSplit/>
        </w:trPr>
        <w:tc>
          <w:tcPr>
            <w:tcW w:type="dxa" w:w="5040"/>
          </w:tcPr>
          <w:p>
            <w:pPr>
              <w:spacing w:after="80"/>
            </w:pPr>
            <w:r>
              <w:rPr>
                <w:sz w:val="20"/>
              </w:rPr>
              <w:t>Mean / median decision days</w:t>
            </w:r>
          </w:p>
        </w:tc>
        <w:tc>
          <w:tcPr>
            <w:tcW w:type="dxa" w:w="5040"/>
          </w:tcPr>
          <w:p>
            <w:pPr>
              <w:spacing w:after="80"/>
            </w:pPr>
            <w:r>
              <w:rPr>
                <w:sz w:val="20"/>
              </w:rPr>
              <w:t>8.54 / 8.00</w:t>
            </w:r>
          </w:p>
        </w:tc>
      </w:tr>
      <w:tr>
        <w:trPr>
          <w:cantSplit/>
        </w:trPr>
        <w:tc>
          <w:tcPr>
            <w:tcW w:type="dxa" w:w="5040"/>
          </w:tcPr>
          <w:p>
            <w:pPr>
              <w:spacing w:after="80"/>
            </w:pPr>
            <w:r>
              <w:rPr>
                <w:sz w:val="20"/>
              </w:rPr>
              <w:t>90th percentile decision days</w:t>
            </w:r>
          </w:p>
        </w:tc>
        <w:tc>
          <w:tcPr>
            <w:tcW w:type="dxa" w:w="5040"/>
          </w:tcPr>
          <w:p>
            <w:pPr>
              <w:spacing w:after="80"/>
            </w:pPr>
            <w:r>
              <w:rPr>
                <w:sz w:val="20"/>
              </w:rPr>
              <w:t>14.00</w:t>
            </w:r>
          </w:p>
        </w:tc>
      </w:tr>
      <w:tr>
        <w:trPr>
          <w:cantSplit/>
        </w:trPr>
        <w:tc>
          <w:tcPr>
            <w:tcW w:type="dxa" w:w="5040"/>
          </w:tcPr>
          <w:p>
            <w:pPr>
              <w:spacing w:after="80"/>
            </w:pPr>
            <w:r>
              <w:rPr>
                <w:sz w:val="20"/>
              </w:rPr>
              <w:t>Decisions within 7 calendar days</w:t>
            </w:r>
          </w:p>
        </w:tc>
        <w:tc>
          <w:tcPr>
            <w:tcW w:type="dxa" w:w="5040"/>
          </w:tcPr>
          <w:p>
            <w:pPr>
              <w:spacing w:after="80"/>
            </w:pPr>
            <w:r>
              <w:rPr>
                <w:sz w:val="20"/>
              </w:rPr>
              <w:t>43.0%</w:t>
            </w:r>
          </w:p>
        </w:tc>
      </w:tr>
      <w:tr>
        <w:trPr>
          <w:cantSplit/>
        </w:trPr>
        <w:tc>
          <w:tcPr>
            <w:tcW w:type="dxa" w:w="5040"/>
          </w:tcPr>
          <w:p>
            <w:pPr>
              <w:spacing w:after="80"/>
            </w:pPr>
            <w:r>
              <w:rPr>
                <w:sz w:val="20"/>
              </w:rPr>
              <w:t>Missing documents at intake</w:t>
            </w:r>
          </w:p>
        </w:tc>
        <w:tc>
          <w:tcPr>
            <w:tcW w:type="dxa" w:w="5040"/>
          </w:tcPr>
          <w:p>
            <w:pPr>
              <w:spacing w:after="80"/>
            </w:pPr>
            <w:r>
              <w:rPr>
                <w:sz w:val="20"/>
              </w:rPr>
              <w:t>34.8%</w:t>
            </w:r>
          </w:p>
        </w:tc>
      </w:tr>
      <w:tr>
        <w:trPr>
          <w:cantSplit/>
        </w:trPr>
        <w:tc>
          <w:tcPr>
            <w:tcW w:type="dxa" w:w="5040"/>
          </w:tcPr>
          <w:p>
            <w:pPr>
              <w:spacing w:after="80"/>
            </w:pPr>
            <w:r>
              <w:rPr>
                <w:sz w:val="20"/>
              </w:rPr>
              <w:t>Open applications older than 7 days</w:t>
            </w:r>
          </w:p>
        </w:tc>
        <w:tc>
          <w:tcPr>
            <w:tcW w:type="dxa" w:w="5040"/>
          </w:tcPr>
          <w:p>
            <w:pPr>
              <w:spacing w:after="80"/>
            </w:pPr>
            <w:r>
              <w:rPr>
                <w:sz w:val="20"/>
              </w:rPr>
              <w:t>8</w:t>
            </w:r>
          </w:p>
        </w:tc>
      </w:tr>
    </w:tbl>
    <w:p>
      <w:pPr>
        <w:pStyle w:val="Heading2"/>
      </w:pPr>
      <w:r>
        <w:rPr>
          <w:color w:val="000000"/>
        </w:rPr>
        <w:t>Recommended direction</w:t>
      </w:r>
    </w:p>
    <w:p>
      <w:r>
        <w:t>Test a versioned document checklist, explicit readiness event, assigned queue owner and aging review. These are proposed workflow changes. The analysis does not establish real bank problems or achieved benefits.</w:t>
      </w:r>
    </w:p>
    <w:p>
      <w:r>
        <w:t>Source: deterministic generator, seed 20261016. Applications submitted January 1 through March 31, 2026. Snapshot: March 31, 2026. The 7 day target is a project assumption.</w:t>
      </w:r>
    </w:p>
    <w:p>
      <w:r>
        <w:br w:type="page"/>
      </w:r>
    </w:p>
    <w:p>
      <w:pPr>
        <w:pStyle w:val="Heading1"/>
      </w:pPr>
      <w:r>
        <w:rPr>
          <w:color w:val="000000"/>
        </w:rPr>
        <w:t>Scope and analytical method</w:t>
      </w:r>
    </w:p>
    <w:p>
      <w:pPr>
        <w:pStyle w:val="Heading2"/>
      </w:pPr>
      <w:r>
        <w:rPr>
          <w:color w:val="000000"/>
        </w:rPr>
        <w:t>A project grounded in banking experience</w:t>
      </w:r>
    </w:p>
    <w:p>
      <w:r>
        <w:t>This project connects retail banking context with business analysis and data analysis skills. It covers one fictional unsecured personal loan product through approval, decline or withdrawal. It does not represent a project completed for an employer.</w:t>
      </w:r>
    </w:p>
    <w:p>
      <w:pPr>
        <w:pStyle w:val="Heading2"/>
      </w:pPr>
      <w:r>
        <w:rPr>
          <w:color w:val="000000"/>
        </w:rPr>
        <w:t>Data preparation</w:t>
      </w:r>
    </w:p>
    <w:p>
      <w:r>
        <w:t>The supplied Python generator created 600 applications and introduced 12 duplicate export rows plus 18 inconsistent channel labels. The supplied SQL preparation removed exact duplicates, normalized channels and enforced a unique application key. The clean table contains 600 rows.</w:t>
      </w:r>
    </w:p>
    <w:p>
      <w:r>
        <w:t>Guided SQL practice checked raw and clean row counts, duplicate IDs, unique applications, channel volumes, stage averages, branch queues, decisions within 7 days, open aging and missing document comparisons. The uploaded queries read the prepared database.</w:t>
      </w:r>
    </w:p>
    <w:p>
      <w:pPr>
        <w:pStyle w:val="Heading2"/>
      </w:pPr>
      <w:r>
        <w:rPr>
          <w:color w:val="000000"/>
        </w:rPr>
        <w:t>Metric definitions</w:t>
      </w:r>
    </w:p>
    <w:tbl>
      <w:tblPr>
        <w:tblStyle w:val="LightShading-Accent1"/>
        <w:tblW w:type="auto" w:w="0"/>
        <w:tblLook w:firstColumn="1" w:firstRow="1" w:lastColumn="0" w:lastRow="0" w:noHBand="0" w:noVBand="1" w:val="04A0"/>
      </w:tblPr>
      <w:tblGrid>
        <w:gridCol w:w="5040"/>
        <w:gridCol w:w="5040"/>
      </w:tblGrid>
      <w:tr>
        <w:trPr>
          <w:cantSplit/>
          <w:tblHeader/>
        </w:trPr>
        <w:tc>
          <w:tcPr>
            <w:tcW w:type="dxa" w:w="5040"/>
          </w:tcPr>
          <w:p>
            <w:pPr>
              <w:spacing w:after="80"/>
            </w:pPr>
            <w:r>
              <w:rPr>
                <w:sz w:val="20"/>
              </w:rPr>
              <w:t>Metric</w:t>
            </w:r>
          </w:p>
        </w:tc>
        <w:tc>
          <w:tcPr>
            <w:tcW w:type="dxa" w:w="5040"/>
          </w:tcPr>
          <w:p>
            <w:pPr>
              <w:spacing w:after="80"/>
            </w:pPr>
            <w:r>
              <w:rPr>
                <w:sz w:val="20"/>
              </w:rPr>
              <w:t>Population and calculation</w:t>
            </w:r>
          </w:p>
        </w:tc>
      </w:tr>
      <w:tr>
        <w:trPr>
          <w:cantSplit/>
        </w:trPr>
        <w:tc>
          <w:tcPr>
            <w:tcW w:type="dxa" w:w="5040"/>
          </w:tcPr>
          <w:p>
            <w:pPr>
              <w:spacing w:after="80"/>
            </w:pPr>
            <w:r>
              <w:rPr>
                <w:sz w:val="20"/>
              </w:rPr>
              <w:t>Decision days</w:t>
            </w:r>
          </w:p>
        </w:tc>
        <w:tc>
          <w:tcPr>
            <w:tcW w:type="dxa" w:w="5040"/>
          </w:tcPr>
          <w:p>
            <w:pPr>
              <w:spacing w:after="80"/>
            </w:pPr>
            <w:r>
              <w:rPr>
                <w:sz w:val="20"/>
              </w:rPr>
              <w:t>Decision date minus submitted date for Approved and Declined only.</w:t>
            </w:r>
          </w:p>
        </w:tc>
      </w:tr>
      <w:tr>
        <w:trPr>
          <w:cantSplit/>
        </w:trPr>
        <w:tc>
          <w:tcPr>
            <w:tcW w:type="dxa" w:w="5040"/>
          </w:tcPr>
          <w:p>
            <w:pPr>
              <w:spacing w:after="80"/>
            </w:pPr>
            <w:r>
              <w:rPr>
                <w:sz w:val="20"/>
              </w:rPr>
              <w:t>Within target</w:t>
            </w:r>
          </w:p>
        </w:tc>
        <w:tc>
          <w:tcPr>
            <w:tcW w:type="dxa" w:w="5040"/>
          </w:tcPr>
          <w:p>
            <w:pPr>
              <w:spacing w:after="80"/>
            </w:pPr>
            <w:r>
              <w:rPr>
                <w:sz w:val="20"/>
              </w:rPr>
              <w:t>Decisioned applications taking 7 days or less divided by all decisioned applications.</w:t>
            </w:r>
          </w:p>
        </w:tc>
      </w:tr>
      <w:tr>
        <w:trPr>
          <w:cantSplit/>
        </w:trPr>
        <w:tc>
          <w:tcPr>
            <w:tcW w:type="dxa" w:w="5040"/>
          </w:tcPr>
          <w:p>
            <w:pPr>
              <w:spacing w:after="80"/>
            </w:pPr>
            <w:r>
              <w:rPr>
                <w:sz w:val="20"/>
              </w:rPr>
              <w:t>Missing document rate</w:t>
            </w:r>
          </w:p>
        </w:tc>
        <w:tc>
          <w:tcPr>
            <w:tcW w:type="dxa" w:w="5040"/>
          </w:tcPr>
          <w:p>
            <w:pPr>
              <w:spacing w:after="80"/>
            </w:pPr>
            <w:r>
              <w:rPr>
                <w:sz w:val="20"/>
              </w:rPr>
              <w:t>Applications missing documents at intake divided by all applications.</w:t>
            </w:r>
          </w:p>
        </w:tc>
      </w:tr>
      <w:tr>
        <w:trPr>
          <w:cantSplit/>
        </w:trPr>
        <w:tc>
          <w:tcPr>
            <w:tcW w:type="dxa" w:w="5040"/>
          </w:tcPr>
          <w:p>
            <w:pPr>
              <w:spacing w:after="80"/>
            </w:pPr>
            <w:r>
              <w:rPr>
                <w:sz w:val="20"/>
              </w:rPr>
              <w:t>Queue days</w:t>
            </w:r>
          </w:p>
        </w:tc>
        <w:tc>
          <w:tcPr>
            <w:tcW w:type="dxa" w:w="5040"/>
          </w:tcPr>
          <w:p>
            <w:pPr>
              <w:spacing w:after="80"/>
            </w:pPr>
            <w:r>
              <w:rPr>
                <w:sz w:val="20"/>
              </w:rPr>
              <w:t>Review start minus document ready date, using the decisioned cohort.</w:t>
            </w:r>
          </w:p>
        </w:tc>
      </w:tr>
      <w:tr>
        <w:trPr>
          <w:cantSplit/>
        </w:trPr>
        <w:tc>
          <w:tcPr>
            <w:tcW w:type="dxa" w:w="5040"/>
          </w:tcPr>
          <w:p>
            <w:pPr>
              <w:spacing w:after="80"/>
            </w:pPr>
            <w:r>
              <w:rPr>
                <w:sz w:val="20"/>
              </w:rPr>
              <w:t>Open aging</w:t>
            </w:r>
          </w:p>
        </w:tc>
        <w:tc>
          <w:tcPr>
            <w:tcW w:type="dxa" w:w="5040"/>
          </w:tcPr>
          <w:p>
            <w:pPr>
              <w:spacing w:after="80"/>
            </w:pPr>
            <w:r>
              <w:rPr>
                <w:sz w:val="20"/>
              </w:rPr>
              <w:t>Snapshot date minus submitted date for Open only.</w:t>
            </w:r>
          </w:p>
        </w:tc>
      </w:tr>
      <w:tr>
        <w:trPr>
          <w:cantSplit/>
        </w:trPr>
        <w:tc>
          <w:tcPr>
            <w:tcW w:type="dxa" w:w="5040"/>
          </w:tcPr>
          <w:p>
            <w:pPr>
              <w:spacing w:after="80"/>
            </w:pPr>
            <w:r>
              <w:rPr>
                <w:sz w:val="20"/>
              </w:rPr>
              <w:t>Approval rate</w:t>
            </w:r>
          </w:p>
        </w:tc>
        <w:tc>
          <w:tcPr>
            <w:tcW w:type="dxa" w:w="5040"/>
          </w:tcPr>
          <w:p>
            <w:pPr>
              <w:spacing w:after="80"/>
            </w:pPr>
            <w:r>
              <w:rPr>
                <w:sz w:val="20"/>
              </w:rPr>
              <w:t>Approved divided by Approved plus Declined. Descriptive, not a target.</w:t>
            </w:r>
          </w:p>
        </w:tc>
      </w:tr>
    </w:tbl>
    <w:p>
      <w:pPr>
        <w:pStyle w:val="Heading2"/>
      </w:pPr>
      <w:r>
        <w:rPr>
          <w:color w:val="000000"/>
        </w:rPr>
        <w:t>Tools and verification</w:t>
      </w:r>
    </w:p>
    <w:p>
      <w:r>
        <w:t>Hassaan used SQLite in VS Code for SQL analysis, Excel for calculations and business analysis worksheets, and Power BI for report development. The repository includes the SQL practice file, prepared database, workbook and a static Power BI report screenshot. The screenshot is not interactive.</w:t>
      </w:r>
    </w:p>
    <w:p>
      <w:r>
        <w:br w:type="page"/>
      </w:r>
    </w:p>
    <w:p>
      <w:pPr>
        <w:pStyle w:val="Heading1"/>
      </w:pPr>
      <w:r>
        <w:rPr>
          <w:color w:val="000000"/>
        </w:rPr>
        <w:t>Findings and proposed changes</w:t>
      </w:r>
    </w:p>
    <w:tbl>
      <w:tblPr>
        <w:tblStyle w:val="LightShading-Accent1"/>
        <w:tblW w:type="auto" w:w="0"/>
        <w:tblLook w:firstColumn="1" w:firstRow="1" w:lastColumn="0" w:lastRow="0" w:noHBand="0" w:noVBand="1" w:val="04A0"/>
      </w:tblPr>
      <w:tblGrid>
        <w:gridCol w:w="5040"/>
        <w:gridCol w:w="5040"/>
      </w:tblGrid>
      <w:tr>
        <w:trPr>
          <w:cantSplit/>
          <w:tblHeader/>
        </w:trPr>
        <w:tc>
          <w:tcPr>
            <w:tcW w:type="dxa" w:w="5040"/>
          </w:tcPr>
          <w:p>
            <w:pPr>
              <w:spacing w:after="80"/>
            </w:pPr>
            <w:r>
              <w:rPr>
                <w:sz w:val="20"/>
              </w:rPr>
              <w:t>Finding</w:t>
            </w:r>
          </w:p>
        </w:tc>
        <w:tc>
          <w:tcPr>
            <w:tcW w:type="dxa" w:w="5040"/>
          </w:tcPr>
          <w:p>
            <w:pPr>
              <w:spacing w:after="80"/>
            </w:pPr>
            <w:r>
              <w:rPr>
                <w:sz w:val="20"/>
              </w:rPr>
              <w:t>Interpretation and next action</w:t>
            </w:r>
          </w:p>
        </w:tc>
      </w:tr>
      <w:tr>
        <w:trPr>
          <w:cantSplit/>
        </w:trPr>
        <w:tc>
          <w:tcPr>
            <w:tcW w:type="dxa" w:w="5040"/>
          </w:tcPr>
          <w:p>
            <w:pPr>
              <w:spacing w:after="80"/>
            </w:pPr>
            <w:r>
              <w:rPr>
                <w:sz w:val="20"/>
              </w:rPr>
              <w:t>Review queue averages 3.92 days</w:t>
            </w:r>
          </w:p>
        </w:tc>
        <w:tc>
          <w:tcPr>
            <w:tcW w:type="dxa" w:w="5040"/>
          </w:tcPr>
          <w:p>
            <w:pPr>
              <w:spacing w:after="80"/>
            </w:pPr>
            <w:r>
              <w:rPr>
                <w:sz w:val="20"/>
              </w:rPr>
              <w:t>The largest stage component in the decisioned cohort. Examine ownership, routing and capacity before selecting a real intervention.</w:t>
            </w:r>
          </w:p>
        </w:tc>
      </w:tr>
      <w:tr>
        <w:trPr>
          <w:cantSplit/>
        </w:trPr>
        <w:tc>
          <w:tcPr>
            <w:tcW w:type="dxa" w:w="5040"/>
          </w:tcPr>
          <w:p>
            <w:pPr>
              <w:spacing w:after="80"/>
            </w:pPr>
            <w:r>
              <w:rPr>
                <w:sz w:val="20"/>
              </w:rPr>
              <w:t>Document collection averages 2.61 days</w:t>
            </w:r>
          </w:p>
        </w:tc>
        <w:tc>
          <w:tcPr>
            <w:tcW w:type="dxa" w:w="5040"/>
          </w:tcPr>
          <w:p>
            <w:pPr>
              <w:spacing w:after="80"/>
            </w:pPr>
            <w:r>
              <w:rPr>
                <w:sz w:val="20"/>
              </w:rPr>
              <w:t>Compare intake completeness and document reasons. Use a checklist and readiness event as pilot hypotheses.</w:t>
            </w:r>
          </w:p>
        </w:tc>
      </w:tr>
      <w:tr>
        <w:trPr>
          <w:cantSplit/>
        </w:trPr>
        <w:tc>
          <w:tcPr>
            <w:tcW w:type="dxa" w:w="5040"/>
          </w:tcPr>
          <w:p>
            <w:pPr>
              <w:spacing w:after="80"/>
            </w:pPr>
            <w:r>
              <w:rPr>
                <w:sz w:val="20"/>
              </w:rPr>
              <w:t>Review to decision averages 2.02 days</w:t>
            </w:r>
          </w:p>
        </w:tc>
        <w:tc>
          <w:tcPr>
            <w:tcW w:type="dxa" w:w="5040"/>
          </w:tcPr>
          <w:p>
            <w:pPr>
              <w:spacing w:after="80"/>
            </w:pPr>
            <w:r>
              <w:rPr>
                <w:sz w:val="20"/>
              </w:rPr>
              <w:t>This is elapsed time, not staff labor. No productivity or cost saving estimate follows from this number.</w:t>
            </w:r>
          </w:p>
        </w:tc>
      </w:tr>
      <w:tr>
        <w:trPr>
          <w:cantSplit/>
        </w:trPr>
        <w:tc>
          <w:tcPr>
            <w:tcW w:type="dxa" w:w="5040"/>
          </w:tcPr>
          <w:p>
            <w:pPr>
              <w:spacing w:after="80"/>
            </w:pPr>
            <w:r>
              <w:rPr>
                <w:sz w:val="20"/>
              </w:rPr>
              <w:t>Incomplete intake: 12.20 days; complete intake: 6.97 days</w:t>
            </w:r>
          </w:p>
        </w:tc>
        <w:tc>
          <w:tcPr>
            <w:tcW w:type="dxa" w:w="5040"/>
          </w:tcPr>
          <w:p>
            <w:pPr>
              <w:spacing w:after="80"/>
            </w:pPr>
            <w:r>
              <w:rPr>
                <w:sz w:val="20"/>
              </w:rPr>
              <w:t>A 5.24 day association within the decisioned cohort. The pattern is encoded in the generator and is not causal evidence.</w:t>
            </w:r>
          </w:p>
        </w:tc>
      </w:tr>
      <w:tr>
        <w:trPr>
          <w:cantSplit/>
        </w:trPr>
        <w:tc>
          <w:tcPr>
            <w:tcW w:type="dxa" w:w="5040"/>
          </w:tcPr>
          <w:p>
            <w:pPr>
              <w:spacing w:after="80"/>
            </w:pPr>
            <w:r>
              <w:rPr>
                <w:sz w:val="20"/>
              </w:rPr>
              <w:t>61 applications remain open; 8 exceed 7 days</w:t>
            </w:r>
          </w:p>
        </w:tc>
        <w:tc>
          <w:tcPr>
            <w:tcW w:type="dxa" w:w="5040"/>
          </w:tcPr>
          <w:p>
            <w:pPr>
              <w:spacing w:after="80"/>
            </w:pPr>
            <w:r>
              <w:rPr>
                <w:sz w:val="20"/>
              </w:rPr>
              <w:t>Monitor unfinished work alongside completed decision speed to avoid hiding delayed cases.</w:t>
            </w:r>
          </w:p>
        </w:tc>
      </w:tr>
    </w:tbl>
    <w:p>
      <w:pPr>
        <w:pStyle w:val="Heading2"/>
      </w:pPr>
      <w:r>
        <w:rPr>
          <w:color w:val="000000"/>
        </w:rPr>
        <w:t>Translate findings into business analysis</w:t>
      </w:r>
    </w:p>
    <w:p>
      <w:r>
        <w:t>The proposed process checks document completeness before review queue entry, records document readiness, displays queue ownership and flags aged active applications. The workbook links requirements FR01 to FR03 with acceptance criteria, traceability and proposed UAT scenarios.</w:t>
      </w:r>
    </w:p>
    <w:p>
      <w:r>
        <w:t>Example: FR03 defines the active application aging flag. UAT05 checks that exactly 7 days is not flagged; UAT06 checks that 8 days is flagged; UAT07 excludes approved, declined and withdrawn cases. These scenarios turn a broad request into testable expected behavior.</w:t>
      </w:r>
    </w:p>
    <w:p>
      <w:pPr>
        <w:pStyle w:val="Heading2"/>
      </w:pPr>
      <w:r>
        <w:rPr>
          <w:color w:val="000000"/>
        </w:rPr>
        <w:t>Status of the artifacts</w:t>
      </w:r>
    </w:p>
    <w:p>
      <w:r>
        <w:t>The process map, requirements, acceptance criteria, traceability, KPI plan and UAT scenarios are proposed designs. No stakeholder interviews, business signoff or system UAT occurred. SQL data checks are separate from acceptance testing of an implemented system.</w:t>
      </w:r>
    </w:p>
    <w:p>
      <w:r>
        <w:br w:type="page"/>
      </w:r>
    </w:p>
    <w:p>
      <w:pPr>
        <w:pStyle w:val="Heading1"/>
      </w:pPr>
      <w:r>
        <w:rPr>
          <w:color w:val="000000"/>
        </w:rPr>
        <w:t>Validation plan and limitations</w:t>
      </w:r>
    </w:p>
    <w:p>
      <w:pPr>
        <w:pStyle w:val="Heading2"/>
      </w:pPr>
      <w:r>
        <w:rPr>
          <w:color w:val="000000"/>
        </w:rPr>
        <w:t>How a pilot would test the proposal</w:t>
      </w:r>
    </w:p>
    <w:p>
      <w:r>
        <w:t>A proposed 4 week pilot would test the document checklist, shared review queue and daily follow up flags. Compare similarly mature cohorts using consistent definitions, ideally with a concurrent comparison group. Consider channel mix, complexity, staffing and seasonality; complexity and staffing are not measured here.</w:t>
      </w:r>
    </w:p>
    <w:p>
      <w:r>
        <w:t>Proposed targets are average decision time of 7.00 days or less, average queue time of 3.00 days or less, missing documents at intake of 25.0% or less, and at least 60.0% of completed decisions within 7 days. Baselines are 8.54 days, 3.92 days, 34.8% and 43.0%, respectively. Targets are illustrative and have not been approved, tested or achieved.</w:t>
      </w:r>
    </w:p>
    <w:p>
      <w:pPr>
        <w:pStyle w:val="Heading2"/>
      </w:pPr>
      <w:r>
        <w:rPr>
          <w:color w:val="000000"/>
        </w:rPr>
        <w:t>Guardrails</w:t>
      </w:r>
    </w:p>
    <w:p>
      <w:r>
        <w:t>Track mean, median, p90, within target rate, open aging and withdrawals together. Follow unresolved cases beyond the pilot window so unfinished work is visible. Monitor complaints, access failures and audit exceptions. Agree acceptable thresholds before a pilot; faster decisions alone do not establish success.</w:t>
      </w:r>
    </w:p>
    <w:p>
      <w:pPr>
        <w:pStyle w:val="Heading2"/>
      </w:pPr>
      <w:r>
        <w:rPr>
          <w:color w:val="000000"/>
        </w:rPr>
        <w:t>What this dataset cannot establish</w:t>
      </w:r>
    </w:p>
    <w:p>
      <w:r>
        <w:t>The generator encodes longer document delays for incomplete intake and extra queue time for one fictional branch. Outcomes are randomly labeled. Dates have daily granularity, with no business calendar, repeat event history, case complexity, handling time or customer experience data. Recent open applications are right censored. Results are not industry benchmarks and cannot establish a causal effect or a real institution's performance.</w:t>
      </w:r>
    </w:p>
    <w:p>
      <w:pPr>
        <w:pStyle w:val="Heading2"/>
      </w:pPr>
      <w:r>
        <w:rPr>
          <w:color w:val="000000"/>
        </w:rPr>
        <w:t>Portfolio evidence</w:t>
      </w:r>
    </w:p>
    <w:p>
      <w:r>
        <w:t>The repository includes the Excel workbook, SQL practice queries, prepared SQLite database, case study, proposed process map and Power BI report screenshot. The workbook contains gap analysis, requirements, acceptance criteria, traceability, a UAT plan and KPI targets. An editable Power BI report file is not included.</w:t>
      </w:r>
    </w:p>
    <w:p>
      <w:pPr>
        <w:pStyle w:val="Heading2"/>
      </w:pPr>
      <w:r>
        <w:rPr>
          <w:color w:val="000000"/>
        </w:rPr>
        <w:t>Authorship and presentation</w:t>
      </w:r>
    </w:p>
    <w:p>
      <w:r>
        <w:t>Hassaan completed this guided portfolio project with ChatGPT assistance, working through Excel calculations, SQL queries, business analysis artifacts and Power BI reporting. AI supplied initial data and database preparation, example queries, explanations, troubleshooting, document drafts and the process map. No independent authorship of the full preparation pipeline or real bank implementation is claimed.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Loan Application Process Transformation</dc:title>
  <dc:subject>Independent portfolio simulation with AI assistance</dc:subject>
  <dc:creator>Hassaan Hameedi</dc:creator>
  <cp:keywords/>
  <dc:description>generated by python-docx</dc:description>
  <cp:lastModifiedBy/>
  <cp:revision>1</cp:revision>
  <dcterms:created xsi:type="dcterms:W3CDTF">2013-12-23T23:15:00Z</dcterms:created>
  <dcterms:modified xsi:type="dcterms:W3CDTF">2013-12-23T23:15:00Z</dcterms:modified>
  <cp:category/>
</cp:coreProperties>
</file>