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53F96" w14:textId="6AC30B96" w:rsidR="002C0546" w:rsidRPr="005E3AD9" w:rsidRDefault="00000000" w:rsidP="005E3AD9">
      <w:pPr>
        <w:pStyle w:val="Title"/>
        <w:pBdr>
          <w:top w:val="nil"/>
          <w:left w:val="nil"/>
          <w:bottom w:val="nil"/>
          <w:right w:val="nil"/>
          <w:between w:val="nil"/>
          <w:bar w:val="nil"/>
        </w:pBdr>
        <w:jc w:val="center"/>
        <w:rPr>
          <w:sz w:val="44"/>
          <w:szCs w:val="56"/>
        </w:rPr>
      </w:pPr>
      <w:r w:rsidRPr="005E3AD9">
        <w:rPr>
          <w:sz w:val="44"/>
          <w:szCs w:val="56"/>
        </w:rPr>
        <w:t>Does Quantization Recovery Generalize to Tool Calling Reliability</w:t>
      </w:r>
    </w:p>
    <w:p w14:paraId="4AB01494" w14:textId="77777777" w:rsidR="005E3AD9" w:rsidRPr="005E3AD9" w:rsidRDefault="005E3AD9" w:rsidP="005E3AD9"/>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39"/>
        <w:gridCol w:w="4939"/>
      </w:tblGrid>
      <w:tr w:rsidR="002C0546" w14:paraId="77D4A604" w14:textId="77777777">
        <w:tc>
          <w:tcPr>
            <w:tcW w:w="4939" w:type="dxa"/>
            <w:tcMar>
              <w:top w:w="25" w:type="dxa"/>
              <w:left w:w="0" w:type="dxa"/>
              <w:bottom w:w="25" w:type="dxa"/>
              <w:right w:w="80" w:type="dxa"/>
            </w:tcMar>
            <w:vAlign w:val="center"/>
          </w:tcPr>
          <w:p w14:paraId="7F3535AE" w14:textId="77777777" w:rsidR="002C0546" w:rsidRDefault="00000000">
            <w:pPr>
              <w:spacing w:after="0"/>
              <w:rPr>
                <w:rFonts w:hint="eastAsia"/>
              </w:rPr>
            </w:pPr>
            <w:r>
              <w:rPr>
                <w:b/>
              </w:rPr>
              <w:t>Team</w:t>
            </w:r>
          </w:p>
        </w:tc>
        <w:tc>
          <w:tcPr>
            <w:tcW w:w="4939" w:type="dxa"/>
            <w:tcMar>
              <w:top w:w="25" w:type="dxa"/>
              <w:left w:w="0" w:type="dxa"/>
              <w:bottom w:w="25" w:type="dxa"/>
              <w:right w:w="80" w:type="dxa"/>
            </w:tcMar>
            <w:vAlign w:val="center"/>
          </w:tcPr>
          <w:p w14:paraId="37594C66" w14:textId="0E8609E9" w:rsidR="002C0546" w:rsidRDefault="00000000">
            <w:pPr>
              <w:spacing w:after="0"/>
              <w:rPr>
                <w:rFonts w:hint="eastAsia"/>
              </w:rPr>
            </w:pPr>
            <w:r>
              <w:t>Hassaan Muzammil</w:t>
            </w:r>
            <w:r w:rsidR="00B701A3">
              <w:t>, Parth Panchal</w:t>
            </w:r>
          </w:p>
        </w:tc>
      </w:tr>
      <w:tr w:rsidR="002C0546" w14:paraId="2E449A7F" w14:textId="77777777">
        <w:tc>
          <w:tcPr>
            <w:tcW w:w="4939" w:type="dxa"/>
            <w:tcMar>
              <w:top w:w="25" w:type="dxa"/>
              <w:left w:w="0" w:type="dxa"/>
              <w:bottom w:w="25" w:type="dxa"/>
              <w:right w:w="80" w:type="dxa"/>
            </w:tcMar>
            <w:vAlign w:val="center"/>
          </w:tcPr>
          <w:p w14:paraId="33F1D3CD" w14:textId="77777777" w:rsidR="002C0546" w:rsidRDefault="00000000">
            <w:pPr>
              <w:spacing w:after="0"/>
              <w:rPr>
                <w:rFonts w:hint="eastAsia"/>
              </w:rPr>
            </w:pPr>
            <w:r>
              <w:rPr>
                <w:b/>
              </w:rPr>
              <w:t>Track</w:t>
            </w:r>
          </w:p>
        </w:tc>
        <w:tc>
          <w:tcPr>
            <w:tcW w:w="4939" w:type="dxa"/>
            <w:tcMar>
              <w:top w:w="25" w:type="dxa"/>
              <w:left w:w="0" w:type="dxa"/>
              <w:bottom w:w="25" w:type="dxa"/>
              <w:right w:w="80" w:type="dxa"/>
            </w:tcMar>
            <w:vAlign w:val="center"/>
          </w:tcPr>
          <w:p w14:paraId="5F572C1F" w14:textId="77777777" w:rsidR="002C0546" w:rsidRDefault="00000000">
            <w:pPr>
              <w:spacing w:after="0"/>
              <w:rPr>
                <w:rFonts w:hint="eastAsia"/>
              </w:rPr>
            </w:pPr>
            <w:r>
              <w:t>Option 1 - Modern Deep Learning Pipeline</w:t>
            </w:r>
          </w:p>
        </w:tc>
      </w:tr>
      <w:tr w:rsidR="002C0546" w14:paraId="52053811" w14:textId="77777777">
        <w:tc>
          <w:tcPr>
            <w:tcW w:w="4939" w:type="dxa"/>
            <w:tcMar>
              <w:top w:w="25" w:type="dxa"/>
              <w:left w:w="0" w:type="dxa"/>
              <w:bottom w:w="25" w:type="dxa"/>
              <w:right w:w="80" w:type="dxa"/>
            </w:tcMar>
            <w:vAlign w:val="center"/>
          </w:tcPr>
          <w:p w14:paraId="18E7CFEF" w14:textId="77777777" w:rsidR="002C0546" w:rsidRDefault="00000000">
            <w:pPr>
              <w:spacing w:after="0"/>
              <w:rPr>
                <w:rFonts w:hint="eastAsia"/>
              </w:rPr>
            </w:pPr>
            <w:r>
              <w:rPr>
                <w:b/>
              </w:rPr>
              <w:t>Repository</w:t>
            </w:r>
          </w:p>
        </w:tc>
        <w:tc>
          <w:tcPr>
            <w:tcW w:w="4939" w:type="dxa"/>
            <w:tcMar>
              <w:top w:w="25" w:type="dxa"/>
              <w:left w:w="0" w:type="dxa"/>
              <w:bottom w:w="25" w:type="dxa"/>
              <w:right w:w="80" w:type="dxa"/>
            </w:tcMar>
            <w:vAlign w:val="center"/>
          </w:tcPr>
          <w:p w14:paraId="1020B67B" w14:textId="0F352BB9" w:rsidR="002C0546" w:rsidRDefault="00FF015C">
            <w:pPr>
              <w:spacing w:after="0"/>
              <w:rPr>
                <w:rFonts w:hint="eastAsia"/>
              </w:rPr>
            </w:pPr>
            <w:r w:rsidRPr="00FF015C">
              <w:t>https://github.com/hassaanmuzammil/quantization-recovery-tool-calling</w:t>
            </w:r>
          </w:p>
        </w:tc>
      </w:tr>
    </w:tbl>
    <w:p w14:paraId="2D44C489" w14:textId="77777777" w:rsidR="002C0546" w:rsidRDefault="00000000">
      <w:pPr>
        <w:pStyle w:val="Heading1"/>
      </w:pPr>
      <w:r>
        <w:t>1 Problem Formulation</w:t>
      </w:r>
    </w:p>
    <w:p w14:paraId="423485E0" w14:textId="77777777" w:rsidR="002C0546" w:rsidRDefault="00000000">
      <w:pPr>
        <w:pStyle w:val="Heading2"/>
      </w:pPr>
      <w:r>
        <w:t>Domain Problem</w:t>
      </w:r>
    </w:p>
    <w:p w14:paraId="7400AE80" w14:textId="77777777" w:rsidR="002C0546" w:rsidRDefault="00000000">
      <w:pPr>
        <w:pStyle w:val="BodyText"/>
        <w:rPr>
          <w:rFonts w:hint="eastAsia"/>
        </w:rPr>
      </w:pPr>
      <w:r>
        <w:t>Recover-LoRA (arXiv 2606.04238) quantizes a model's MLP gate and up projections to 2-bit, then trains LoRA adapters through knowledge distillation against the full-precision version of the same model. It uses self-generated synthetic text, with no labels or external dataset, and reports recovering 80-95% of lost accuracy on 9 of 12 general benchmarks.</w:t>
      </w:r>
    </w:p>
    <w:p w14:paraId="59335351" w14:textId="77777777" w:rsidR="002C0546" w:rsidRDefault="00000000">
      <w:pPr>
        <w:pStyle w:val="BodyText"/>
        <w:rPr>
          <w:rFonts w:hint="eastAsia"/>
        </w:rPr>
      </w:pPr>
      <w:r>
        <w:t>All reported benchmarks measure general knowledge or reasoning. The method has not been evaluated on tool calling, and the authors identify broader capability validation as future work. This gap matters because tool calling requires a model to select the correct function, populate its arguments, and abstain when no function applies. A practitioner reading that the method recovers 90% of lost accuracy has no basis for assuming that the same recovery holds for the capability needed in deployment.</w:t>
      </w:r>
    </w:p>
    <w:p w14:paraId="21103D25" w14:textId="77777777" w:rsidR="002C0546" w:rsidRDefault="00000000">
      <w:pPr>
        <w:pStyle w:val="Heading2"/>
      </w:pPr>
      <w:r>
        <w:t>Research Questions</w:t>
      </w:r>
    </w:p>
    <w:p w14:paraId="07066B71" w14:textId="77777777" w:rsidR="002C0546" w:rsidRDefault="00000000">
      <w:pPr>
        <w:pStyle w:val="BodyText"/>
        <w:rPr>
          <w:rFonts w:hint="eastAsia"/>
        </w:rPr>
      </w:pPr>
      <w:r>
        <w:rPr>
          <w:b/>
        </w:rPr>
        <w:t>RQ1 - Is recovery capability-dependent?</w:t>
      </w:r>
      <w:r>
        <w:t xml:space="preserve"> One adapter, trained exactly as prescribed, is evaluated across capability types. The claim under test is that a recovery method's headline number is a property of the method and evaluation-suite pair, rather than of the method alone.</w:t>
      </w:r>
    </w:p>
    <w:p w14:paraId="1C548DF8" w14:textId="77777777" w:rsidR="002C0546" w:rsidRDefault="00000000">
      <w:pPr>
        <w:pStyle w:val="BodyText"/>
        <w:rPr>
          <w:rFonts w:hint="eastAsia"/>
        </w:rPr>
      </w:pPr>
      <w:r>
        <w:rPr>
          <w:b/>
        </w:rPr>
        <w:t>RQ2 - Does the distillation prompt domain matter?</w:t>
      </w:r>
      <w:r>
        <w:t xml:space="preserve"> Holding the method, loss, teacher, and training budget fixed, does distilling over tool-calling prompts instead of general text change how much tool-calling capability returns? This tests NVIDIA's QAD finding (arXiv 2601.20088) that narrow-domain distillation data recovers out-of-domain capability nearly as well as in-domain data, under three conditions QAD did not test: a substantially larger damage gap, a rank-limited adapter, and a structured rather than reasoning capability.</w:t>
      </w:r>
    </w:p>
    <w:p w14:paraId="72D7143E" w14:textId="77777777" w:rsidR="002C0546" w:rsidRDefault="00000000">
      <w:pPr>
        <w:pStyle w:val="Heading2"/>
      </w:pPr>
      <w:r>
        <w:t>Input and Output Specification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416"/>
      </w:tblGrid>
      <w:tr w:rsidR="002C0546" w14:paraId="2A1DE60A" w14:textId="77777777">
        <w:trPr>
          <w:cantSplit/>
          <w:tblHeader/>
          <w:jc w:val="center"/>
        </w:trPr>
        <w:tc>
          <w:tcPr>
            <w:tcW w:w="2232" w:type="dxa"/>
            <w:shd w:val="clear" w:color="auto" w:fill="17365D"/>
            <w:tcMar>
              <w:top w:w="100" w:type="dxa"/>
              <w:left w:w="120" w:type="dxa"/>
              <w:bottom w:w="100" w:type="dxa"/>
              <w:right w:w="120" w:type="dxa"/>
            </w:tcMar>
            <w:vAlign w:val="center"/>
          </w:tcPr>
          <w:p w14:paraId="403094B8" w14:textId="77777777" w:rsidR="002C0546" w:rsidRDefault="00000000">
            <w:pPr>
              <w:spacing w:after="0"/>
              <w:jc w:val="center"/>
              <w:rPr>
                <w:rFonts w:hint="eastAsia"/>
              </w:rPr>
            </w:pPr>
            <w:r>
              <w:rPr>
                <w:b/>
                <w:color w:val="FFFFFF"/>
                <w:sz w:val="19"/>
              </w:rPr>
              <w:t>Specification</w:t>
            </w:r>
          </w:p>
        </w:tc>
        <w:tc>
          <w:tcPr>
            <w:tcW w:w="7416" w:type="dxa"/>
            <w:shd w:val="clear" w:color="auto" w:fill="17365D"/>
            <w:tcMar>
              <w:top w:w="100" w:type="dxa"/>
              <w:left w:w="120" w:type="dxa"/>
              <w:bottom w:w="100" w:type="dxa"/>
              <w:right w:w="120" w:type="dxa"/>
            </w:tcMar>
            <w:vAlign w:val="center"/>
          </w:tcPr>
          <w:p w14:paraId="22C63CF9" w14:textId="77777777" w:rsidR="002C0546" w:rsidRDefault="00000000">
            <w:pPr>
              <w:spacing w:after="0"/>
              <w:jc w:val="center"/>
              <w:rPr>
                <w:rFonts w:hint="eastAsia"/>
              </w:rPr>
            </w:pPr>
            <w:r>
              <w:rPr>
                <w:b/>
                <w:color w:val="FFFFFF"/>
                <w:sz w:val="19"/>
              </w:rPr>
              <w:t>Definition</w:t>
            </w:r>
          </w:p>
        </w:tc>
      </w:tr>
      <w:tr w:rsidR="002C0546" w14:paraId="56226F15" w14:textId="77777777">
        <w:trPr>
          <w:cantSplit/>
          <w:jc w:val="center"/>
        </w:trPr>
        <w:tc>
          <w:tcPr>
            <w:tcW w:w="2232" w:type="dxa"/>
            <w:tcMar>
              <w:top w:w="100" w:type="dxa"/>
              <w:left w:w="120" w:type="dxa"/>
              <w:bottom w:w="100" w:type="dxa"/>
              <w:right w:w="120" w:type="dxa"/>
            </w:tcMar>
            <w:vAlign w:val="center"/>
          </w:tcPr>
          <w:p w14:paraId="580ECF58" w14:textId="77777777" w:rsidR="002C0546" w:rsidRDefault="00000000">
            <w:pPr>
              <w:spacing w:after="0" w:line="252" w:lineRule="auto"/>
              <w:rPr>
                <w:rFonts w:hint="eastAsia"/>
              </w:rPr>
            </w:pPr>
            <w:r>
              <w:rPr>
                <w:sz w:val="18"/>
              </w:rPr>
              <w:t>System input</w:t>
            </w:r>
          </w:p>
        </w:tc>
        <w:tc>
          <w:tcPr>
            <w:tcW w:w="7416" w:type="dxa"/>
            <w:tcMar>
              <w:top w:w="100" w:type="dxa"/>
              <w:left w:w="120" w:type="dxa"/>
              <w:bottom w:w="100" w:type="dxa"/>
              <w:right w:w="120" w:type="dxa"/>
            </w:tcMar>
            <w:vAlign w:val="center"/>
          </w:tcPr>
          <w:p w14:paraId="4B354845" w14:textId="77777777" w:rsidR="002C0546" w:rsidRDefault="00000000">
            <w:pPr>
              <w:spacing w:after="0" w:line="252" w:lineRule="auto"/>
              <w:rPr>
                <w:rFonts w:hint="eastAsia"/>
              </w:rPr>
            </w:pPr>
            <w:r>
              <w:rPr>
                <w:sz w:val="18"/>
              </w:rPr>
              <w:t>User query plus available function schemas: name, description, typed parameters, and required fields.</w:t>
            </w:r>
          </w:p>
        </w:tc>
      </w:tr>
      <w:tr w:rsidR="002C0546" w14:paraId="51C2F427" w14:textId="77777777">
        <w:trPr>
          <w:cantSplit/>
          <w:jc w:val="center"/>
        </w:trPr>
        <w:tc>
          <w:tcPr>
            <w:tcW w:w="2232" w:type="dxa"/>
            <w:shd w:val="clear" w:color="auto" w:fill="F7F9FB"/>
            <w:tcMar>
              <w:top w:w="100" w:type="dxa"/>
              <w:left w:w="120" w:type="dxa"/>
              <w:bottom w:w="100" w:type="dxa"/>
              <w:right w:w="120" w:type="dxa"/>
            </w:tcMar>
            <w:vAlign w:val="center"/>
          </w:tcPr>
          <w:p w14:paraId="020C67AD" w14:textId="77777777" w:rsidR="002C0546" w:rsidRDefault="00000000">
            <w:pPr>
              <w:spacing w:after="0" w:line="252" w:lineRule="auto"/>
              <w:rPr>
                <w:rFonts w:hint="eastAsia"/>
              </w:rPr>
            </w:pPr>
            <w:r>
              <w:rPr>
                <w:sz w:val="18"/>
              </w:rPr>
              <w:t>System output</w:t>
            </w:r>
          </w:p>
        </w:tc>
        <w:tc>
          <w:tcPr>
            <w:tcW w:w="7416" w:type="dxa"/>
            <w:shd w:val="clear" w:color="auto" w:fill="F7F9FB"/>
            <w:tcMar>
              <w:top w:w="100" w:type="dxa"/>
              <w:left w:w="120" w:type="dxa"/>
              <w:bottom w:w="100" w:type="dxa"/>
              <w:right w:w="120" w:type="dxa"/>
            </w:tcMar>
            <w:vAlign w:val="center"/>
          </w:tcPr>
          <w:p w14:paraId="30F212AB" w14:textId="77777777" w:rsidR="002C0546" w:rsidRDefault="00000000">
            <w:pPr>
              <w:spacing w:after="0" w:line="252" w:lineRule="auto"/>
              <w:rPr>
                <w:rFonts w:hint="eastAsia"/>
              </w:rPr>
            </w:pPr>
            <w:r>
              <w:rPr>
                <w:sz w:val="18"/>
              </w:rPr>
              <w:t>A structured function call consisting of a function name and JSON argument object, or plain text when no function applies.</w:t>
            </w:r>
          </w:p>
        </w:tc>
      </w:tr>
      <w:tr w:rsidR="002C0546" w14:paraId="1C61610F" w14:textId="77777777">
        <w:trPr>
          <w:cantSplit/>
          <w:jc w:val="center"/>
        </w:trPr>
        <w:tc>
          <w:tcPr>
            <w:tcW w:w="2232" w:type="dxa"/>
            <w:tcMar>
              <w:top w:w="100" w:type="dxa"/>
              <w:left w:w="120" w:type="dxa"/>
              <w:bottom w:w="100" w:type="dxa"/>
              <w:right w:w="120" w:type="dxa"/>
            </w:tcMar>
            <w:vAlign w:val="center"/>
          </w:tcPr>
          <w:p w14:paraId="3F1D5855" w14:textId="77777777" w:rsidR="002C0546" w:rsidRDefault="00000000">
            <w:pPr>
              <w:spacing w:after="0" w:line="252" w:lineRule="auto"/>
              <w:rPr>
                <w:rFonts w:hint="eastAsia"/>
              </w:rPr>
            </w:pPr>
            <w:r>
              <w:rPr>
                <w:sz w:val="18"/>
              </w:rPr>
              <w:t>Experimental input</w:t>
            </w:r>
          </w:p>
        </w:tc>
        <w:tc>
          <w:tcPr>
            <w:tcW w:w="7416" w:type="dxa"/>
            <w:tcMar>
              <w:top w:w="100" w:type="dxa"/>
              <w:left w:w="120" w:type="dxa"/>
              <w:bottom w:w="100" w:type="dxa"/>
              <w:right w:w="120" w:type="dxa"/>
            </w:tcMar>
            <w:vAlign w:val="center"/>
          </w:tcPr>
          <w:p w14:paraId="63D27863" w14:textId="77777777" w:rsidR="002C0546" w:rsidRDefault="00000000">
            <w:pPr>
              <w:spacing w:after="0" w:line="252" w:lineRule="auto"/>
              <w:rPr>
                <w:rFonts w:hint="eastAsia"/>
              </w:rPr>
            </w:pPr>
            <w:r>
              <w:rPr>
                <w:sz w:val="18"/>
              </w:rPr>
              <w:t>A checkpoint at a given precision, with or without a LoRA adapter.</w:t>
            </w:r>
          </w:p>
        </w:tc>
      </w:tr>
      <w:tr w:rsidR="002C0546" w14:paraId="126C26F5" w14:textId="77777777">
        <w:trPr>
          <w:cantSplit/>
          <w:jc w:val="center"/>
        </w:trPr>
        <w:tc>
          <w:tcPr>
            <w:tcW w:w="2232" w:type="dxa"/>
            <w:shd w:val="clear" w:color="auto" w:fill="F7F9FB"/>
            <w:tcMar>
              <w:top w:w="100" w:type="dxa"/>
              <w:left w:w="120" w:type="dxa"/>
              <w:bottom w:w="100" w:type="dxa"/>
              <w:right w:w="120" w:type="dxa"/>
            </w:tcMar>
            <w:vAlign w:val="center"/>
          </w:tcPr>
          <w:p w14:paraId="5ED52FEC" w14:textId="77777777" w:rsidR="002C0546" w:rsidRDefault="00000000">
            <w:pPr>
              <w:spacing w:after="0" w:line="252" w:lineRule="auto"/>
              <w:rPr>
                <w:rFonts w:hint="eastAsia"/>
              </w:rPr>
            </w:pPr>
            <w:r>
              <w:rPr>
                <w:sz w:val="18"/>
              </w:rPr>
              <w:t>Experimental output</w:t>
            </w:r>
          </w:p>
        </w:tc>
        <w:tc>
          <w:tcPr>
            <w:tcW w:w="7416" w:type="dxa"/>
            <w:shd w:val="clear" w:color="auto" w:fill="F7F9FB"/>
            <w:tcMar>
              <w:top w:w="100" w:type="dxa"/>
              <w:left w:w="120" w:type="dxa"/>
              <w:bottom w:w="100" w:type="dxa"/>
              <w:right w:w="120" w:type="dxa"/>
            </w:tcMar>
            <w:vAlign w:val="center"/>
          </w:tcPr>
          <w:p w14:paraId="339C68C5" w14:textId="77777777" w:rsidR="002C0546" w:rsidRDefault="00000000">
            <w:pPr>
              <w:spacing w:after="0" w:line="252" w:lineRule="auto"/>
              <w:rPr>
                <w:rFonts w:hint="eastAsia"/>
              </w:rPr>
            </w:pPr>
            <w:r>
              <w:rPr>
                <w:sz w:val="18"/>
              </w:rPr>
              <w:t>Per-suite accuracy, chance-corrected recovery, and per-channel failure decomposition.</w:t>
            </w:r>
          </w:p>
        </w:tc>
      </w:tr>
    </w:tbl>
    <w:p w14:paraId="5A1F533A" w14:textId="77777777" w:rsidR="002C0546" w:rsidRDefault="002C0546">
      <w:pPr>
        <w:spacing w:after="0"/>
        <w:rPr>
          <w:rFonts w:hint="eastAsia"/>
        </w:rPr>
      </w:pPr>
    </w:p>
    <w:p w14:paraId="7EC8CA2F" w14:textId="77777777" w:rsidR="002C0546" w:rsidRDefault="00000000">
      <w:pPr>
        <w:pStyle w:val="Heading2"/>
      </w:pPr>
      <w:r>
        <w:t>Target Metrics and Success Criteria</w:t>
      </w:r>
    </w:p>
    <w:p w14:paraId="78015F69" w14:textId="77777777" w:rsidR="002C0546" w:rsidRDefault="00000000">
      <w:pPr>
        <w:pStyle w:val="BodyText"/>
        <w:rPr>
          <w:rFonts w:hint="eastAsia"/>
        </w:rPr>
      </w:pPr>
      <w:r>
        <w:rPr>
          <w:b/>
        </w:rPr>
        <w:t>Primary metric.</w:t>
      </w:r>
      <w:r>
        <w:t xml:space="preserve"> Absolute accuracy delta in chance-corrected points. Raw scores are mapped as (raw - chance) / (1 - chance), so a totally broken model equals zero on every benchmark. This prevents MMLU's 25% guessing floor from inflating its recovery figure relative to BFCL's floor of approximately zero.</w:t>
      </w:r>
    </w:p>
    <w:p w14:paraId="67B6468A" w14:textId="77777777" w:rsidR="002C0546" w:rsidRDefault="00000000">
      <w:pPr>
        <w:pStyle w:val="BodyText"/>
        <w:rPr>
          <w:rFonts w:hint="eastAsia"/>
        </w:rPr>
      </w:pPr>
      <w:r>
        <w:rPr>
          <w:b/>
        </w:rPr>
        <w:lastRenderedPageBreak/>
        <w:t>Secondary metric.</w:t>
      </w:r>
      <w:r>
        <w:t xml:space="preserve"> Recovery percentage: (recovered - quantized) / (full-precision - quantized), calculated on chance-corrected scores. It is reported only when the damage gap exceeds a pre-registered threshold, never averaged across categories because denominators differ, and not reported when the gap is negative. Negative gaps occur in abstention categories when a damaged model emits fewer parseable calls and scores higher by failing in a fortunate direction.</w:t>
      </w:r>
    </w:p>
    <w:p w14:paraId="56BCFEAA" w14:textId="77777777" w:rsidR="002C0546" w:rsidRDefault="00000000">
      <w:pPr>
        <w:pStyle w:val="BodyText"/>
        <w:rPr>
          <w:rFonts w:hint="eastAsia"/>
        </w:rPr>
      </w:pPr>
      <w:r>
        <w:rPr>
          <w:b/>
        </w:rPr>
        <w:t>Failure-channel decomposition.</w:t>
      </w:r>
      <w:r>
        <w:t xml:space="preserve"> Every failure is classified as a hallucinated call, abstention when a call was required, function absent from the offered list, wrong function from the list, wrong arity, argument type error, argument value error, or unparseable output. Aggregate accuracy alone is insufficient: prior work on tau2-bench found task scores statistically unchanged from 16-bit to 4-bit while tool-name hallucination doubled, masked by the benchmark's error budget.</w:t>
      </w:r>
    </w:p>
    <w:p w14:paraId="2B829421" w14:textId="77777777" w:rsidR="002C0546" w:rsidRDefault="00000000">
      <w:pPr>
        <w:pStyle w:val="BodyText"/>
        <w:rPr>
          <w:rFonts w:hint="eastAsia"/>
        </w:rPr>
      </w:pPr>
      <w:r>
        <w:rPr>
          <w:b/>
        </w:rPr>
        <w:t>Success criterion.</w:t>
      </w:r>
      <w:r>
        <w:t xml:space="preserve"> The project succeeds if RQ1 produces an interpretable answer in either direction. Capability-dependent recovery would show that general benchmarks are inadequate for judging deployment-bound quantized models. Equal recovery would extend the method's validated scope to a capability class it has not been tested on.</w:t>
      </w:r>
    </w:p>
    <w:p w14:paraId="4B797DB2" w14:textId="77777777" w:rsidR="002C0546" w:rsidRDefault="00000000">
      <w:pPr>
        <w:pStyle w:val="BodyText"/>
        <w:rPr>
          <w:rFonts w:hint="eastAsia"/>
        </w:rPr>
      </w:pPr>
      <w:r>
        <w:rPr>
          <w:b/>
        </w:rPr>
        <w:t>Pre-registered gate.</w:t>
      </w:r>
      <w:r>
        <w:t xml:space="preserve"> If the faithful reproduction fails to recover a pre-registered fraction of the damage gap on general benchmarks, RQ1 would compare one broken baseline with another. In that case, the project pivots to a narrower comparison.</w:t>
      </w:r>
    </w:p>
    <w:p w14:paraId="0ED7E8FD" w14:textId="77777777" w:rsidR="002C0546" w:rsidRDefault="00000000">
      <w:pPr>
        <w:pStyle w:val="Heading1"/>
      </w:pPr>
      <w:r>
        <w:t>2 Proposed Technical Approach</w:t>
      </w:r>
    </w:p>
    <w:p w14:paraId="0C11E4CA" w14:textId="77777777" w:rsidR="002C0546" w:rsidRDefault="00000000">
      <w:pPr>
        <w:pStyle w:val="Heading2"/>
      </w:pPr>
      <w:r>
        <w:t>Experimental Architecture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91"/>
        <w:gridCol w:w="5256"/>
        <w:gridCol w:w="3701"/>
      </w:tblGrid>
      <w:tr w:rsidR="002C0546" w14:paraId="1F14AE93" w14:textId="77777777">
        <w:trPr>
          <w:cantSplit/>
          <w:tblHeader/>
          <w:jc w:val="center"/>
        </w:trPr>
        <w:tc>
          <w:tcPr>
            <w:tcW w:w="691" w:type="dxa"/>
            <w:shd w:val="clear" w:color="auto" w:fill="17365D"/>
            <w:tcMar>
              <w:top w:w="100" w:type="dxa"/>
              <w:left w:w="120" w:type="dxa"/>
              <w:bottom w:w="100" w:type="dxa"/>
              <w:right w:w="120" w:type="dxa"/>
            </w:tcMar>
            <w:vAlign w:val="center"/>
          </w:tcPr>
          <w:p w14:paraId="2582D9AC" w14:textId="77777777" w:rsidR="002C0546" w:rsidRDefault="00000000">
            <w:pPr>
              <w:spacing w:after="0"/>
              <w:jc w:val="center"/>
              <w:rPr>
                <w:rFonts w:hint="eastAsia"/>
              </w:rPr>
            </w:pPr>
            <w:r>
              <w:rPr>
                <w:b/>
                <w:color w:val="FFFFFF"/>
                <w:sz w:val="19"/>
              </w:rPr>
              <w:t>ID</w:t>
            </w:r>
          </w:p>
        </w:tc>
        <w:tc>
          <w:tcPr>
            <w:tcW w:w="5256" w:type="dxa"/>
            <w:shd w:val="clear" w:color="auto" w:fill="17365D"/>
            <w:tcMar>
              <w:top w:w="100" w:type="dxa"/>
              <w:left w:w="120" w:type="dxa"/>
              <w:bottom w:w="100" w:type="dxa"/>
              <w:right w:w="120" w:type="dxa"/>
            </w:tcMar>
            <w:vAlign w:val="center"/>
          </w:tcPr>
          <w:p w14:paraId="27E56F7B" w14:textId="77777777" w:rsidR="002C0546" w:rsidRDefault="00000000">
            <w:pPr>
              <w:spacing w:after="0"/>
              <w:jc w:val="center"/>
              <w:rPr>
                <w:rFonts w:hint="eastAsia"/>
              </w:rPr>
            </w:pPr>
            <w:r>
              <w:rPr>
                <w:b/>
                <w:color w:val="FFFFFF"/>
                <w:sz w:val="19"/>
              </w:rPr>
              <w:t>Configuration</w:t>
            </w:r>
          </w:p>
        </w:tc>
        <w:tc>
          <w:tcPr>
            <w:tcW w:w="3701" w:type="dxa"/>
            <w:shd w:val="clear" w:color="auto" w:fill="17365D"/>
            <w:tcMar>
              <w:top w:w="100" w:type="dxa"/>
              <w:left w:w="120" w:type="dxa"/>
              <w:bottom w:w="100" w:type="dxa"/>
              <w:right w:w="120" w:type="dxa"/>
            </w:tcMar>
            <w:vAlign w:val="center"/>
          </w:tcPr>
          <w:p w14:paraId="27F28CEA" w14:textId="77777777" w:rsidR="002C0546" w:rsidRDefault="00000000">
            <w:pPr>
              <w:spacing w:after="0"/>
              <w:jc w:val="center"/>
              <w:rPr>
                <w:rFonts w:hint="eastAsia"/>
              </w:rPr>
            </w:pPr>
            <w:r>
              <w:rPr>
                <w:b/>
                <w:color w:val="FFFFFF"/>
                <w:sz w:val="19"/>
              </w:rPr>
              <w:t>Role</w:t>
            </w:r>
          </w:p>
        </w:tc>
      </w:tr>
      <w:tr w:rsidR="002C0546" w14:paraId="185E412D" w14:textId="77777777">
        <w:trPr>
          <w:cantSplit/>
          <w:jc w:val="center"/>
        </w:trPr>
        <w:tc>
          <w:tcPr>
            <w:tcW w:w="691" w:type="dxa"/>
            <w:tcMar>
              <w:top w:w="100" w:type="dxa"/>
              <w:left w:w="120" w:type="dxa"/>
              <w:bottom w:w="100" w:type="dxa"/>
              <w:right w:w="120" w:type="dxa"/>
            </w:tcMar>
            <w:vAlign w:val="center"/>
          </w:tcPr>
          <w:p w14:paraId="7779EE67" w14:textId="77777777" w:rsidR="002C0546" w:rsidRDefault="00000000">
            <w:pPr>
              <w:spacing w:after="0" w:line="252" w:lineRule="auto"/>
              <w:jc w:val="center"/>
              <w:rPr>
                <w:rFonts w:hint="eastAsia"/>
              </w:rPr>
            </w:pPr>
            <w:r>
              <w:rPr>
                <w:b/>
                <w:sz w:val="18"/>
              </w:rPr>
              <w:t>C1</w:t>
            </w:r>
          </w:p>
        </w:tc>
        <w:tc>
          <w:tcPr>
            <w:tcW w:w="5256" w:type="dxa"/>
            <w:tcMar>
              <w:top w:w="100" w:type="dxa"/>
              <w:left w:w="120" w:type="dxa"/>
              <w:bottom w:w="100" w:type="dxa"/>
              <w:right w:w="120" w:type="dxa"/>
            </w:tcMar>
            <w:vAlign w:val="center"/>
          </w:tcPr>
          <w:p w14:paraId="1BBBDDAE" w14:textId="77777777" w:rsidR="002C0546" w:rsidRDefault="00000000">
            <w:pPr>
              <w:spacing w:after="0" w:line="252" w:lineRule="auto"/>
              <w:rPr>
                <w:rFonts w:hint="eastAsia"/>
              </w:rPr>
            </w:pPr>
            <w:r>
              <w:rPr>
                <w:sz w:val="18"/>
              </w:rPr>
              <w:t>Full-precision, untouched</w:t>
            </w:r>
          </w:p>
        </w:tc>
        <w:tc>
          <w:tcPr>
            <w:tcW w:w="3701" w:type="dxa"/>
            <w:tcMar>
              <w:top w:w="100" w:type="dxa"/>
              <w:left w:w="120" w:type="dxa"/>
              <w:bottom w:w="100" w:type="dxa"/>
              <w:right w:w="120" w:type="dxa"/>
            </w:tcMar>
            <w:vAlign w:val="center"/>
          </w:tcPr>
          <w:p w14:paraId="11342438" w14:textId="77777777" w:rsidR="002C0546" w:rsidRDefault="00000000">
            <w:pPr>
              <w:spacing w:after="0" w:line="252" w:lineRule="auto"/>
              <w:rPr>
                <w:rFonts w:hint="eastAsia"/>
              </w:rPr>
            </w:pPr>
            <w:r>
              <w:rPr>
                <w:sz w:val="18"/>
              </w:rPr>
              <w:t>Ceiling and denominator of every recovery figure</w:t>
            </w:r>
          </w:p>
        </w:tc>
      </w:tr>
      <w:tr w:rsidR="002C0546" w14:paraId="5D2D170C" w14:textId="77777777">
        <w:trPr>
          <w:cantSplit/>
          <w:jc w:val="center"/>
        </w:trPr>
        <w:tc>
          <w:tcPr>
            <w:tcW w:w="691" w:type="dxa"/>
            <w:shd w:val="clear" w:color="auto" w:fill="F7F9FB"/>
            <w:tcMar>
              <w:top w:w="100" w:type="dxa"/>
              <w:left w:w="120" w:type="dxa"/>
              <w:bottom w:w="100" w:type="dxa"/>
              <w:right w:w="120" w:type="dxa"/>
            </w:tcMar>
            <w:vAlign w:val="center"/>
          </w:tcPr>
          <w:p w14:paraId="72F7241A" w14:textId="77777777" w:rsidR="002C0546" w:rsidRDefault="00000000">
            <w:pPr>
              <w:spacing w:after="0" w:line="252" w:lineRule="auto"/>
              <w:jc w:val="center"/>
              <w:rPr>
                <w:rFonts w:hint="eastAsia"/>
              </w:rPr>
            </w:pPr>
            <w:r>
              <w:rPr>
                <w:b/>
                <w:sz w:val="18"/>
              </w:rPr>
              <w:t>C2</w:t>
            </w:r>
          </w:p>
        </w:tc>
        <w:tc>
          <w:tcPr>
            <w:tcW w:w="5256" w:type="dxa"/>
            <w:shd w:val="clear" w:color="auto" w:fill="F7F9FB"/>
            <w:tcMar>
              <w:top w:w="100" w:type="dxa"/>
              <w:left w:w="120" w:type="dxa"/>
              <w:bottom w:w="100" w:type="dxa"/>
              <w:right w:w="120" w:type="dxa"/>
            </w:tcMar>
            <w:vAlign w:val="center"/>
          </w:tcPr>
          <w:p w14:paraId="0E30E199" w14:textId="77777777" w:rsidR="002C0546" w:rsidRDefault="00000000">
            <w:pPr>
              <w:spacing w:after="0" w:line="252" w:lineRule="auto"/>
              <w:rPr>
                <w:rFonts w:hint="eastAsia"/>
              </w:rPr>
            </w:pPr>
            <w:r>
              <w:rPr>
                <w:sz w:val="18"/>
              </w:rPr>
              <w:t>2-bit gate and up quantization, without recovery</w:t>
            </w:r>
          </w:p>
        </w:tc>
        <w:tc>
          <w:tcPr>
            <w:tcW w:w="3701" w:type="dxa"/>
            <w:shd w:val="clear" w:color="auto" w:fill="F7F9FB"/>
            <w:tcMar>
              <w:top w:w="100" w:type="dxa"/>
              <w:left w:w="120" w:type="dxa"/>
              <w:bottom w:w="100" w:type="dxa"/>
              <w:right w:w="120" w:type="dxa"/>
            </w:tcMar>
            <w:vAlign w:val="center"/>
          </w:tcPr>
          <w:p w14:paraId="044B70A5" w14:textId="77777777" w:rsidR="002C0546" w:rsidRDefault="00000000">
            <w:pPr>
              <w:spacing w:after="0" w:line="252" w:lineRule="auto"/>
              <w:rPr>
                <w:rFonts w:hint="eastAsia"/>
              </w:rPr>
            </w:pPr>
            <w:r>
              <w:rPr>
                <w:sz w:val="18"/>
              </w:rPr>
              <w:t>Damage baseline and denominator of every recovery figure</w:t>
            </w:r>
          </w:p>
        </w:tc>
      </w:tr>
      <w:tr w:rsidR="002C0546" w14:paraId="1077DDB1" w14:textId="77777777">
        <w:trPr>
          <w:cantSplit/>
          <w:jc w:val="center"/>
        </w:trPr>
        <w:tc>
          <w:tcPr>
            <w:tcW w:w="691" w:type="dxa"/>
            <w:tcMar>
              <w:top w:w="100" w:type="dxa"/>
              <w:left w:w="120" w:type="dxa"/>
              <w:bottom w:w="100" w:type="dxa"/>
              <w:right w:w="120" w:type="dxa"/>
            </w:tcMar>
            <w:vAlign w:val="center"/>
          </w:tcPr>
          <w:p w14:paraId="25DA0E8A" w14:textId="77777777" w:rsidR="002C0546" w:rsidRDefault="00000000">
            <w:pPr>
              <w:spacing w:after="0" w:line="252" w:lineRule="auto"/>
              <w:jc w:val="center"/>
              <w:rPr>
                <w:rFonts w:hint="eastAsia"/>
              </w:rPr>
            </w:pPr>
            <w:r>
              <w:rPr>
                <w:b/>
                <w:sz w:val="18"/>
              </w:rPr>
              <w:t>C3</w:t>
            </w:r>
          </w:p>
        </w:tc>
        <w:tc>
          <w:tcPr>
            <w:tcW w:w="5256" w:type="dxa"/>
            <w:tcMar>
              <w:top w:w="100" w:type="dxa"/>
              <w:left w:w="120" w:type="dxa"/>
              <w:bottom w:w="100" w:type="dxa"/>
              <w:right w:w="120" w:type="dxa"/>
            </w:tcMar>
            <w:vAlign w:val="center"/>
          </w:tcPr>
          <w:p w14:paraId="396C7C2E" w14:textId="77777777" w:rsidR="002C0546" w:rsidRDefault="00000000">
            <w:pPr>
              <w:spacing w:after="0" w:line="252" w:lineRule="auto"/>
              <w:rPr>
                <w:rFonts w:hint="eastAsia"/>
              </w:rPr>
            </w:pPr>
            <w:r>
              <w:rPr>
                <w:sz w:val="18"/>
              </w:rPr>
              <w:t>C2 plus LoRA; KD on self-generated general text</w:t>
            </w:r>
          </w:p>
        </w:tc>
        <w:tc>
          <w:tcPr>
            <w:tcW w:w="3701" w:type="dxa"/>
            <w:tcMar>
              <w:top w:w="100" w:type="dxa"/>
              <w:left w:w="120" w:type="dxa"/>
              <w:bottom w:w="100" w:type="dxa"/>
              <w:right w:w="120" w:type="dxa"/>
            </w:tcMar>
            <w:vAlign w:val="center"/>
          </w:tcPr>
          <w:p w14:paraId="11E4C575" w14:textId="77777777" w:rsidR="002C0546" w:rsidRDefault="00000000">
            <w:pPr>
              <w:spacing w:after="0" w:line="252" w:lineRule="auto"/>
              <w:rPr>
                <w:rFonts w:hint="eastAsia"/>
              </w:rPr>
            </w:pPr>
            <w:r>
              <w:rPr>
                <w:sz w:val="18"/>
              </w:rPr>
              <w:t>Faithful reproduction and RQ1 condition</w:t>
            </w:r>
          </w:p>
        </w:tc>
      </w:tr>
      <w:tr w:rsidR="002C0546" w14:paraId="30973FE7" w14:textId="77777777">
        <w:trPr>
          <w:cantSplit/>
          <w:jc w:val="center"/>
        </w:trPr>
        <w:tc>
          <w:tcPr>
            <w:tcW w:w="691" w:type="dxa"/>
            <w:shd w:val="clear" w:color="auto" w:fill="F7F9FB"/>
            <w:tcMar>
              <w:top w:w="100" w:type="dxa"/>
              <w:left w:w="120" w:type="dxa"/>
              <w:bottom w:w="100" w:type="dxa"/>
              <w:right w:w="120" w:type="dxa"/>
            </w:tcMar>
            <w:vAlign w:val="center"/>
          </w:tcPr>
          <w:p w14:paraId="61808E04" w14:textId="77777777" w:rsidR="002C0546" w:rsidRDefault="00000000">
            <w:pPr>
              <w:spacing w:after="0" w:line="252" w:lineRule="auto"/>
              <w:jc w:val="center"/>
              <w:rPr>
                <w:rFonts w:hint="eastAsia"/>
              </w:rPr>
            </w:pPr>
            <w:r>
              <w:rPr>
                <w:b/>
                <w:sz w:val="18"/>
              </w:rPr>
              <w:t>C4</w:t>
            </w:r>
          </w:p>
        </w:tc>
        <w:tc>
          <w:tcPr>
            <w:tcW w:w="5256" w:type="dxa"/>
            <w:shd w:val="clear" w:color="auto" w:fill="F7F9FB"/>
            <w:tcMar>
              <w:top w:w="100" w:type="dxa"/>
              <w:left w:w="120" w:type="dxa"/>
              <w:bottom w:w="100" w:type="dxa"/>
              <w:right w:w="120" w:type="dxa"/>
            </w:tcMar>
            <w:vAlign w:val="center"/>
          </w:tcPr>
          <w:p w14:paraId="1BD50A92" w14:textId="77777777" w:rsidR="002C0546" w:rsidRDefault="00000000">
            <w:pPr>
              <w:spacing w:after="0" w:line="252" w:lineRule="auto"/>
              <w:rPr>
                <w:rFonts w:hint="eastAsia"/>
              </w:rPr>
            </w:pPr>
            <w:r>
              <w:rPr>
                <w:sz w:val="18"/>
              </w:rPr>
              <w:t>C2 plus LoRA; KD on self-generated tool-calling text</w:t>
            </w:r>
          </w:p>
        </w:tc>
        <w:tc>
          <w:tcPr>
            <w:tcW w:w="3701" w:type="dxa"/>
            <w:shd w:val="clear" w:color="auto" w:fill="F7F9FB"/>
            <w:tcMar>
              <w:top w:w="100" w:type="dxa"/>
              <w:left w:w="120" w:type="dxa"/>
              <w:bottom w:w="100" w:type="dxa"/>
              <w:right w:w="120" w:type="dxa"/>
            </w:tcMar>
            <w:vAlign w:val="center"/>
          </w:tcPr>
          <w:p w14:paraId="570331B8" w14:textId="77777777" w:rsidR="002C0546" w:rsidRDefault="00000000">
            <w:pPr>
              <w:spacing w:after="0" w:line="252" w:lineRule="auto"/>
              <w:rPr>
                <w:rFonts w:hint="eastAsia"/>
              </w:rPr>
            </w:pPr>
            <w:r>
              <w:rPr>
                <w:sz w:val="18"/>
              </w:rPr>
              <w:t>Same recipe, different domain; RQ2 condition</w:t>
            </w:r>
          </w:p>
        </w:tc>
      </w:tr>
      <w:tr w:rsidR="002C0546" w14:paraId="3F85A332" w14:textId="77777777">
        <w:trPr>
          <w:cantSplit/>
          <w:jc w:val="center"/>
        </w:trPr>
        <w:tc>
          <w:tcPr>
            <w:tcW w:w="691" w:type="dxa"/>
            <w:tcMar>
              <w:top w:w="100" w:type="dxa"/>
              <w:left w:w="120" w:type="dxa"/>
              <w:bottom w:w="100" w:type="dxa"/>
              <w:right w:w="120" w:type="dxa"/>
            </w:tcMar>
            <w:vAlign w:val="center"/>
          </w:tcPr>
          <w:p w14:paraId="357B5583" w14:textId="77777777" w:rsidR="002C0546" w:rsidRDefault="00000000">
            <w:pPr>
              <w:spacing w:after="0" w:line="252" w:lineRule="auto"/>
              <w:jc w:val="center"/>
              <w:rPr>
                <w:rFonts w:hint="eastAsia"/>
              </w:rPr>
            </w:pPr>
            <w:r>
              <w:rPr>
                <w:b/>
                <w:sz w:val="18"/>
              </w:rPr>
              <w:t>C5</w:t>
            </w:r>
          </w:p>
        </w:tc>
        <w:tc>
          <w:tcPr>
            <w:tcW w:w="5256" w:type="dxa"/>
            <w:tcMar>
              <w:top w:w="100" w:type="dxa"/>
              <w:left w:w="120" w:type="dxa"/>
              <w:bottom w:w="100" w:type="dxa"/>
              <w:right w:w="120" w:type="dxa"/>
            </w:tcMar>
            <w:vAlign w:val="center"/>
          </w:tcPr>
          <w:p w14:paraId="578C5F33" w14:textId="77777777" w:rsidR="002C0546" w:rsidRDefault="00000000">
            <w:pPr>
              <w:spacing w:after="0" w:line="252" w:lineRule="auto"/>
              <w:rPr>
                <w:rFonts w:hint="eastAsia"/>
              </w:rPr>
            </w:pPr>
            <w:r>
              <w:rPr>
                <w:sz w:val="18"/>
              </w:rPr>
              <w:t>Full-precision plus labelled tool SFT LoRA</w:t>
            </w:r>
          </w:p>
        </w:tc>
        <w:tc>
          <w:tcPr>
            <w:tcW w:w="3701" w:type="dxa"/>
            <w:tcMar>
              <w:top w:w="100" w:type="dxa"/>
              <w:left w:w="120" w:type="dxa"/>
              <w:bottom w:w="100" w:type="dxa"/>
              <w:right w:w="120" w:type="dxa"/>
            </w:tcMar>
            <w:vAlign w:val="center"/>
          </w:tcPr>
          <w:p w14:paraId="3F2D14D9" w14:textId="77777777" w:rsidR="002C0546" w:rsidRDefault="00000000">
            <w:pPr>
              <w:spacing w:after="0" w:line="252" w:lineRule="auto"/>
              <w:rPr>
                <w:rFonts w:hint="eastAsia"/>
              </w:rPr>
            </w:pPr>
            <w:r>
              <w:rPr>
                <w:sz w:val="18"/>
              </w:rPr>
              <w:t>Positive control</w:t>
            </w:r>
          </w:p>
        </w:tc>
      </w:tr>
    </w:tbl>
    <w:p w14:paraId="04D29141" w14:textId="77777777" w:rsidR="002C0546" w:rsidRDefault="002C0546">
      <w:pPr>
        <w:spacing w:after="0"/>
        <w:rPr>
          <w:rFonts w:hint="eastAsia"/>
        </w:rPr>
      </w:pPr>
    </w:p>
    <w:p w14:paraId="1D1B2728" w14:textId="77777777" w:rsidR="002C0546" w:rsidRDefault="00000000">
      <w:pPr>
        <w:pStyle w:val="BodyText"/>
        <w:rPr>
          <w:rFonts w:hint="eastAsia"/>
        </w:rPr>
      </w:pPr>
      <w:r>
        <w:t>C4 uses distillation rather than supervised fine-tuning. Recovery is defined as a fraction of the damage gap, with the full-precision model as the ceiling. Labelled fine-tuning can exceed that ceiling, making recovery percentages meaningless and leaving any gain unattributable between repairing quantization damage and teaching a capability the teacher did not have.</w:t>
      </w:r>
    </w:p>
    <w:p w14:paraId="35B9FA61" w14:textId="77777777" w:rsidR="002C0546" w:rsidRDefault="00000000">
      <w:pPr>
        <w:pStyle w:val="BodyText"/>
        <w:rPr>
          <w:rFonts w:hint="eastAsia"/>
        </w:rPr>
      </w:pPr>
      <w:r>
        <w:t>C5 is required as a positive control. If C3 and C4 perform similarly, the result could mean either that prompt domain does not matter or that the training setup was too weak to move the capability. C5 demonstrates whether the capability can move under the same budget, but its score is never used in a recovery calculation.</w:t>
      </w:r>
    </w:p>
    <w:p w14:paraId="3AC734B4" w14:textId="77777777" w:rsidR="002C0546" w:rsidRDefault="00000000">
      <w:pPr>
        <w:pStyle w:val="Heading2"/>
      </w:pPr>
      <w:r>
        <w:t>Models</w:t>
      </w:r>
    </w:p>
    <w:p w14:paraId="073DB296" w14:textId="77777777" w:rsidR="002C0546" w:rsidRDefault="00000000">
      <w:pPr>
        <w:pStyle w:val="BodyText"/>
        <w:rPr>
          <w:rFonts w:hint="eastAsia"/>
        </w:rPr>
      </w:pPr>
      <w:r>
        <w:t>The primary model is Qwen3-4B-Instruct-2507, which matches the source paper's scale and provides a native function-calling mode. Granite 4 Micro or Phi-4-mini serves as a secondary model, with reduced scope acceptable, so the findings are not limited to one architecture.</w:t>
      </w:r>
    </w:p>
    <w:p w14:paraId="64F8EC1F" w14:textId="77777777" w:rsidR="002C0546" w:rsidRDefault="00000000">
      <w:pPr>
        <w:pStyle w:val="Heading2"/>
      </w:pPr>
      <w:r>
        <w:t>Data Sources</w:t>
      </w:r>
    </w:p>
    <w:p w14:paraId="3C8753FA" w14:textId="77777777" w:rsidR="002C0546" w:rsidRDefault="00000000">
      <w:pPr>
        <w:pStyle w:val="BodyText"/>
        <w:rPr>
          <w:rFonts w:hint="eastAsia"/>
        </w:rPr>
      </w:pPr>
      <w:r>
        <w:rPr>
          <w:b/>
        </w:rPr>
        <w:t>Distillation corpora.</w:t>
      </w:r>
      <w:r>
        <w:t xml:space="preserve"> Both corpora are self-generated and use no external dataset. In phase one, the teacher generates general synthetic passages for C3. For C4, it generates tool-use exchanges from hand-authored function schemas by writing a plausible user query and then responding through its native tool-calling mode. In phase two, the generated text is fed to both teacher and student, and the KL divergence between their token distributions is used as the training loss.</w:t>
      </w:r>
    </w:p>
    <w:p w14:paraId="2EAD7B2F" w14:textId="77777777" w:rsidR="002C0546" w:rsidRDefault="00000000">
      <w:pPr>
        <w:pStyle w:val="BodyText"/>
        <w:rPr>
          <w:rFonts w:hint="eastAsia"/>
        </w:rPr>
      </w:pPr>
      <w:r>
        <w:lastRenderedPageBreak/>
        <w:t>Schemas are hand-authored to remove the most malformable component. Samples are filtered only for structural parseability, never for whether the teacher selected the correct function. Filtering for correctness would turn distillation into curated fine-tuning. Both corpora remain self-generated because using an external corpus for C4 would vary provenance and domain together, making any difference unattributable.</w:t>
      </w:r>
    </w:p>
    <w:p w14:paraId="505B79FD" w14:textId="77777777" w:rsidR="002C0546" w:rsidRDefault="00000000">
      <w:pPr>
        <w:pStyle w:val="Heading2"/>
      </w:pPr>
      <w:r>
        <w:t>Evaluation Suites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91"/>
        <w:gridCol w:w="3096"/>
        <w:gridCol w:w="2232"/>
        <w:gridCol w:w="3629"/>
      </w:tblGrid>
      <w:tr w:rsidR="002C0546" w14:paraId="1B9F0EC1" w14:textId="77777777">
        <w:trPr>
          <w:cantSplit/>
          <w:tblHeader/>
          <w:jc w:val="center"/>
        </w:trPr>
        <w:tc>
          <w:tcPr>
            <w:tcW w:w="691" w:type="dxa"/>
            <w:shd w:val="clear" w:color="auto" w:fill="17365D"/>
            <w:tcMar>
              <w:top w:w="100" w:type="dxa"/>
              <w:left w:w="120" w:type="dxa"/>
              <w:bottom w:w="100" w:type="dxa"/>
              <w:right w:w="120" w:type="dxa"/>
            </w:tcMar>
            <w:vAlign w:val="center"/>
          </w:tcPr>
          <w:p w14:paraId="6063B66D" w14:textId="77777777" w:rsidR="002C0546" w:rsidRDefault="00000000">
            <w:pPr>
              <w:spacing w:after="0"/>
              <w:jc w:val="center"/>
              <w:rPr>
                <w:rFonts w:hint="eastAsia"/>
              </w:rPr>
            </w:pPr>
            <w:r>
              <w:rPr>
                <w:b/>
                <w:color w:val="FFFFFF"/>
                <w:sz w:val="19"/>
              </w:rPr>
              <w:t>Suite</w:t>
            </w:r>
          </w:p>
        </w:tc>
        <w:tc>
          <w:tcPr>
            <w:tcW w:w="3096" w:type="dxa"/>
            <w:shd w:val="clear" w:color="auto" w:fill="17365D"/>
            <w:tcMar>
              <w:top w:w="100" w:type="dxa"/>
              <w:left w:w="120" w:type="dxa"/>
              <w:bottom w:w="100" w:type="dxa"/>
              <w:right w:w="120" w:type="dxa"/>
            </w:tcMar>
            <w:vAlign w:val="center"/>
          </w:tcPr>
          <w:p w14:paraId="6C5A536E" w14:textId="77777777" w:rsidR="002C0546" w:rsidRDefault="00000000">
            <w:pPr>
              <w:spacing w:after="0"/>
              <w:jc w:val="center"/>
              <w:rPr>
                <w:rFonts w:hint="eastAsia"/>
              </w:rPr>
            </w:pPr>
            <w:r>
              <w:rPr>
                <w:b/>
                <w:color w:val="FFFFFF"/>
                <w:sz w:val="19"/>
              </w:rPr>
              <w:t>Benchmarks</w:t>
            </w:r>
          </w:p>
        </w:tc>
        <w:tc>
          <w:tcPr>
            <w:tcW w:w="2232" w:type="dxa"/>
            <w:shd w:val="clear" w:color="auto" w:fill="17365D"/>
            <w:tcMar>
              <w:top w:w="100" w:type="dxa"/>
              <w:left w:w="120" w:type="dxa"/>
              <w:bottom w:w="100" w:type="dxa"/>
              <w:right w:w="120" w:type="dxa"/>
            </w:tcMar>
            <w:vAlign w:val="center"/>
          </w:tcPr>
          <w:p w14:paraId="603F8903" w14:textId="77777777" w:rsidR="002C0546" w:rsidRDefault="00000000">
            <w:pPr>
              <w:spacing w:after="0"/>
              <w:jc w:val="center"/>
              <w:rPr>
                <w:rFonts w:hint="eastAsia"/>
              </w:rPr>
            </w:pPr>
            <w:r>
              <w:rPr>
                <w:b/>
                <w:color w:val="FFFFFF"/>
                <w:sz w:val="19"/>
              </w:rPr>
              <w:t>Scoring</w:t>
            </w:r>
          </w:p>
        </w:tc>
        <w:tc>
          <w:tcPr>
            <w:tcW w:w="3629" w:type="dxa"/>
            <w:shd w:val="clear" w:color="auto" w:fill="17365D"/>
            <w:tcMar>
              <w:top w:w="100" w:type="dxa"/>
              <w:left w:w="120" w:type="dxa"/>
              <w:bottom w:w="100" w:type="dxa"/>
              <w:right w:w="120" w:type="dxa"/>
            </w:tcMar>
            <w:vAlign w:val="center"/>
          </w:tcPr>
          <w:p w14:paraId="00782138" w14:textId="77777777" w:rsidR="002C0546" w:rsidRDefault="00000000">
            <w:pPr>
              <w:spacing w:after="0"/>
              <w:jc w:val="center"/>
              <w:rPr>
                <w:rFonts w:hint="eastAsia"/>
              </w:rPr>
            </w:pPr>
            <w:r>
              <w:rPr>
                <w:b/>
                <w:color w:val="FFFFFF"/>
                <w:sz w:val="19"/>
              </w:rPr>
              <w:t>Purpose</w:t>
            </w:r>
          </w:p>
        </w:tc>
      </w:tr>
      <w:tr w:rsidR="002C0546" w14:paraId="566C2A2D" w14:textId="77777777">
        <w:trPr>
          <w:cantSplit/>
          <w:jc w:val="center"/>
        </w:trPr>
        <w:tc>
          <w:tcPr>
            <w:tcW w:w="691" w:type="dxa"/>
            <w:tcMar>
              <w:top w:w="100" w:type="dxa"/>
              <w:left w:w="120" w:type="dxa"/>
              <w:bottom w:w="100" w:type="dxa"/>
              <w:right w:w="120" w:type="dxa"/>
            </w:tcMar>
            <w:vAlign w:val="center"/>
          </w:tcPr>
          <w:p w14:paraId="4005B870" w14:textId="77777777" w:rsidR="002C0546" w:rsidRDefault="00000000">
            <w:pPr>
              <w:spacing w:after="0" w:line="252" w:lineRule="auto"/>
              <w:jc w:val="center"/>
              <w:rPr>
                <w:rFonts w:hint="eastAsia"/>
              </w:rPr>
            </w:pPr>
            <w:r>
              <w:rPr>
                <w:b/>
                <w:sz w:val="18"/>
              </w:rPr>
              <w:t>A</w:t>
            </w:r>
          </w:p>
        </w:tc>
        <w:tc>
          <w:tcPr>
            <w:tcW w:w="3096" w:type="dxa"/>
            <w:tcMar>
              <w:top w:w="100" w:type="dxa"/>
              <w:left w:w="120" w:type="dxa"/>
              <w:bottom w:w="100" w:type="dxa"/>
              <w:right w:w="120" w:type="dxa"/>
            </w:tcMar>
            <w:vAlign w:val="center"/>
          </w:tcPr>
          <w:p w14:paraId="36817A1E" w14:textId="77777777" w:rsidR="002C0546" w:rsidRDefault="00000000">
            <w:pPr>
              <w:spacing w:after="0" w:line="252" w:lineRule="auto"/>
              <w:rPr>
                <w:rFonts w:hint="eastAsia"/>
              </w:rPr>
            </w:pPr>
            <w:r>
              <w:rPr>
                <w:sz w:val="18"/>
              </w:rPr>
              <w:t>MMLU and HellaSwag</w:t>
            </w:r>
          </w:p>
        </w:tc>
        <w:tc>
          <w:tcPr>
            <w:tcW w:w="2232" w:type="dxa"/>
            <w:tcMar>
              <w:top w:w="100" w:type="dxa"/>
              <w:left w:w="120" w:type="dxa"/>
              <w:bottom w:w="100" w:type="dxa"/>
              <w:right w:w="120" w:type="dxa"/>
            </w:tcMar>
            <w:vAlign w:val="center"/>
          </w:tcPr>
          <w:p w14:paraId="20368F64" w14:textId="77777777" w:rsidR="002C0546" w:rsidRDefault="00000000">
            <w:pPr>
              <w:spacing w:after="0" w:line="252" w:lineRule="auto"/>
              <w:rPr>
                <w:rFonts w:hint="eastAsia"/>
              </w:rPr>
            </w:pPr>
            <w:r>
              <w:rPr>
                <w:sz w:val="18"/>
              </w:rPr>
              <w:t>Ranking by log-likelihood</w:t>
            </w:r>
          </w:p>
        </w:tc>
        <w:tc>
          <w:tcPr>
            <w:tcW w:w="3629" w:type="dxa"/>
            <w:tcMar>
              <w:top w:w="100" w:type="dxa"/>
              <w:left w:w="120" w:type="dxa"/>
              <w:bottom w:w="100" w:type="dxa"/>
              <w:right w:w="120" w:type="dxa"/>
            </w:tcMar>
            <w:vAlign w:val="center"/>
          </w:tcPr>
          <w:p w14:paraId="6827B589" w14:textId="77777777" w:rsidR="002C0546" w:rsidRDefault="00000000">
            <w:pPr>
              <w:spacing w:after="0" w:line="252" w:lineRule="auto"/>
              <w:rPr>
                <w:rFonts w:hint="eastAsia"/>
              </w:rPr>
            </w:pPr>
            <w:r>
              <w:rPr>
                <w:sz w:val="18"/>
              </w:rPr>
              <w:t>General capability and reproduction check</w:t>
            </w:r>
          </w:p>
        </w:tc>
      </w:tr>
      <w:tr w:rsidR="002C0546" w14:paraId="7B42F4F9" w14:textId="77777777">
        <w:trPr>
          <w:cantSplit/>
          <w:jc w:val="center"/>
        </w:trPr>
        <w:tc>
          <w:tcPr>
            <w:tcW w:w="691" w:type="dxa"/>
            <w:shd w:val="clear" w:color="auto" w:fill="F7F9FB"/>
            <w:tcMar>
              <w:top w:w="100" w:type="dxa"/>
              <w:left w:w="120" w:type="dxa"/>
              <w:bottom w:w="100" w:type="dxa"/>
              <w:right w:w="120" w:type="dxa"/>
            </w:tcMar>
            <w:vAlign w:val="center"/>
          </w:tcPr>
          <w:p w14:paraId="0E9ADF49" w14:textId="77777777" w:rsidR="002C0546" w:rsidRDefault="00000000">
            <w:pPr>
              <w:spacing w:after="0" w:line="252" w:lineRule="auto"/>
              <w:jc w:val="center"/>
              <w:rPr>
                <w:rFonts w:hint="eastAsia"/>
              </w:rPr>
            </w:pPr>
            <w:r>
              <w:rPr>
                <w:b/>
                <w:sz w:val="18"/>
              </w:rPr>
              <w:t>B</w:t>
            </w:r>
          </w:p>
        </w:tc>
        <w:tc>
          <w:tcPr>
            <w:tcW w:w="3096" w:type="dxa"/>
            <w:shd w:val="clear" w:color="auto" w:fill="F7F9FB"/>
            <w:tcMar>
              <w:top w:w="100" w:type="dxa"/>
              <w:left w:w="120" w:type="dxa"/>
              <w:bottom w:w="100" w:type="dxa"/>
              <w:right w:w="120" w:type="dxa"/>
            </w:tcMar>
            <w:vAlign w:val="center"/>
          </w:tcPr>
          <w:p w14:paraId="6674AC50" w14:textId="77777777" w:rsidR="002C0546" w:rsidRDefault="00000000">
            <w:pPr>
              <w:spacing w:after="0" w:line="252" w:lineRule="auto"/>
              <w:rPr>
                <w:rFonts w:hint="eastAsia"/>
              </w:rPr>
            </w:pPr>
            <w:r>
              <w:rPr>
                <w:sz w:val="18"/>
              </w:rPr>
              <w:t>IFEval, prompt-level strict</w:t>
            </w:r>
          </w:p>
        </w:tc>
        <w:tc>
          <w:tcPr>
            <w:tcW w:w="2232" w:type="dxa"/>
            <w:shd w:val="clear" w:color="auto" w:fill="F7F9FB"/>
            <w:tcMar>
              <w:top w:w="100" w:type="dxa"/>
              <w:left w:w="120" w:type="dxa"/>
              <w:bottom w:w="100" w:type="dxa"/>
              <w:right w:w="120" w:type="dxa"/>
            </w:tcMar>
            <w:vAlign w:val="center"/>
          </w:tcPr>
          <w:p w14:paraId="25036D21" w14:textId="77777777" w:rsidR="002C0546" w:rsidRDefault="00000000">
            <w:pPr>
              <w:spacing w:after="0" w:line="252" w:lineRule="auto"/>
              <w:rPr>
                <w:rFonts w:hint="eastAsia"/>
              </w:rPr>
            </w:pPr>
            <w:r>
              <w:rPr>
                <w:sz w:val="18"/>
              </w:rPr>
              <w:t>Generative</w:t>
            </w:r>
          </w:p>
        </w:tc>
        <w:tc>
          <w:tcPr>
            <w:tcW w:w="3629" w:type="dxa"/>
            <w:shd w:val="clear" w:color="auto" w:fill="F7F9FB"/>
            <w:tcMar>
              <w:top w:w="100" w:type="dxa"/>
              <w:left w:w="120" w:type="dxa"/>
              <w:bottom w:w="100" w:type="dxa"/>
              <w:right w:w="120" w:type="dxa"/>
            </w:tcMar>
            <w:vAlign w:val="center"/>
          </w:tcPr>
          <w:p w14:paraId="0F7E4C54" w14:textId="77777777" w:rsidR="002C0546" w:rsidRDefault="00000000">
            <w:pPr>
              <w:spacing w:after="0" w:line="252" w:lineRule="auto"/>
              <w:rPr>
                <w:rFonts w:hint="eastAsia"/>
              </w:rPr>
            </w:pPr>
            <w:r>
              <w:rPr>
                <w:sz w:val="18"/>
              </w:rPr>
              <w:t>Generative but non-agentic capability</w:t>
            </w:r>
          </w:p>
        </w:tc>
      </w:tr>
      <w:tr w:rsidR="002C0546" w14:paraId="02524EDA" w14:textId="77777777">
        <w:trPr>
          <w:cantSplit/>
          <w:jc w:val="center"/>
        </w:trPr>
        <w:tc>
          <w:tcPr>
            <w:tcW w:w="691" w:type="dxa"/>
            <w:tcMar>
              <w:top w:w="100" w:type="dxa"/>
              <w:left w:w="120" w:type="dxa"/>
              <w:bottom w:w="100" w:type="dxa"/>
              <w:right w:w="120" w:type="dxa"/>
            </w:tcMar>
            <w:vAlign w:val="center"/>
          </w:tcPr>
          <w:p w14:paraId="52BCF914" w14:textId="77777777" w:rsidR="002C0546" w:rsidRDefault="00000000">
            <w:pPr>
              <w:spacing w:after="0" w:line="252" w:lineRule="auto"/>
              <w:jc w:val="center"/>
              <w:rPr>
                <w:rFonts w:hint="eastAsia"/>
              </w:rPr>
            </w:pPr>
            <w:r>
              <w:rPr>
                <w:b/>
                <w:sz w:val="18"/>
              </w:rPr>
              <w:t>C</w:t>
            </w:r>
          </w:p>
        </w:tc>
        <w:tc>
          <w:tcPr>
            <w:tcW w:w="3096" w:type="dxa"/>
            <w:tcMar>
              <w:top w:w="100" w:type="dxa"/>
              <w:left w:w="120" w:type="dxa"/>
              <w:bottom w:w="100" w:type="dxa"/>
              <w:right w:w="120" w:type="dxa"/>
            </w:tcMar>
            <w:vAlign w:val="center"/>
          </w:tcPr>
          <w:p w14:paraId="36AC6196" w14:textId="77777777" w:rsidR="002C0546" w:rsidRDefault="00000000">
            <w:pPr>
              <w:spacing w:after="0" w:line="252" w:lineRule="auto"/>
              <w:rPr>
                <w:rFonts w:hint="eastAsia"/>
              </w:rPr>
            </w:pPr>
            <w:r>
              <w:rPr>
                <w:sz w:val="18"/>
              </w:rPr>
              <w:t>BFCL v4 live categories; relevance and irrelevance</w:t>
            </w:r>
          </w:p>
        </w:tc>
        <w:tc>
          <w:tcPr>
            <w:tcW w:w="2232" w:type="dxa"/>
            <w:tcMar>
              <w:top w:w="100" w:type="dxa"/>
              <w:left w:w="120" w:type="dxa"/>
              <w:bottom w:w="100" w:type="dxa"/>
              <w:right w:w="120" w:type="dxa"/>
            </w:tcMar>
            <w:vAlign w:val="center"/>
          </w:tcPr>
          <w:p w14:paraId="0E2891DC" w14:textId="77777777" w:rsidR="002C0546" w:rsidRDefault="00000000">
            <w:pPr>
              <w:spacing w:after="0" w:line="252" w:lineRule="auto"/>
              <w:rPr>
                <w:rFonts w:hint="eastAsia"/>
              </w:rPr>
            </w:pPr>
            <w:r>
              <w:rPr>
                <w:sz w:val="18"/>
              </w:rPr>
              <w:t>Generative</w:t>
            </w:r>
          </w:p>
        </w:tc>
        <w:tc>
          <w:tcPr>
            <w:tcW w:w="3629" w:type="dxa"/>
            <w:tcMar>
              <w:top w:w="100" w:type="dxa"/>
              <w:left w:w="120" w:type="dxa"/>
              <w:bottom w:w="100" w:type="dxa"/>
              <w:right w:w="120" w:type="dxa"/>
            </w:tcMar>
            <w:vAlign w:val="center"/>
          </w:tcPr>
          <w:p w14:paraId="45705AA5" w14:textId="77777777" w:rsidR="002C0546" w:rsidRDefault="00000000">
            <w:pPr>
              <w:spacing w:after="0" w:line="252" w:lineRule="auto"/>
              <w:rPr>
                <w:rFonts w:hint="eastAsia"/>
              </w:rPr>
            </w:pPr>
            <w:r>
              <w:rPr>
                <w:sz w:val="18"/>
              </w:rPr>
              <w:t>Tool-calling capability</w:t>
            </w:r>
          </w:p>
        </w:tc>
      </w:tr>
    </w:tbl>
    <w:p w14:paraId="2AA7ABAE" w14:textId="77777777" w:rsidR="002C0546" w:rsidRDefault="002C0546">
      <w:pPr>
        <w:spacing w:after="0"/>
        <w:rPr>
          <w:rFonts w:hint="eastAsia"/>
        </w:rPr>
      </w:pPr>
    </w:p>
    <w:p w14:paraId="7D720BAD" w14:textId="77777777" w:rsidR="002C0546" w:rsidRDefault="00000000">
      <w:pPr>
        <w:pStyle w:val="BodyText"/>
        <w:rPr>
          <w:rFonts w:hint="eastAsia"/>
        </w:rPr>
      </w:pPr>
      <w:r>
        <w:t>Suite B is load-bearing. MMLU compares the log-likelihoods of fixed options, so the model never generates an answer. BFCL requires free generation of parseable structure, and quantization damages generation more than ranking. Comparing only Suites A and C would change capability type and metric type together, making RQ1 unfalsifiable. Comparing A with B isolates the metric effect; comparing B with C isolates the capability effect.</w:t>
      </w:r>
    </w:p>
    <w:p w14:paraId="1B36D80C" w14:textId="77777777" w:rsidR="002C0546" w:rsidRDefault="00000000">
      <w:pPr>
        <w:pStyle w:val="BodyText"/>
        <w:rPr>
          <w:rFonts w:hint="eastAsia"/>
        </w:rPr>
      </w:pPr>
      <w:r>
        <w:t>Within Suite C, live_multiple (n=1,053), live_irrelevance (n=884), and live_simple (n=258) are load-bearing. Parallel and relevance categories (n=16-24) are reported, but they are too small to support a claim independently.</w:t>
      </w:r>
    </w:p>
    <w:p w14:paraId="220B02ED" w14:textId="77777777" w:rsidR="002C0546" w:rsidRDefault="00000000">
      <w:pPr>
        <w:pStyle w:val="Heading2"/>
      </w:pPr>
      <w:r>
        <w:t>Technical Modifications</w:t>
      </w:r>
    </w:p>
    <w:p w14:paraId="1B7C0B47" w14:textId="77777777" w:rsidR="002C0546" w:rsidRDefault="00000000">
      <w:pPr>
        <w:pStyle w:val="BodyText"/>
        <w:rPr>
          <w:rFonts w:hint="eastAsia"/>
        </w:rPr>
      </w:pPr>
      <w:r>
        <w:rPr>
          <w:b/>
        </w:rPr>
        <w:t>Efficiency.</w:t>
      </w:r>
      <w:r>
        <w:t xml:space="preserve"> The project applies 2-bit selective quantization with adapter-based recovery, extending a published method to an unevaluated capability class. Quantization is simulated through quantize-dequantize rather than kernel-native execution, so no throughput claim is made.</w:t>
      </w:r>
    </w:p>
    <w:p w14:paraId="00C959B8" w14:textId="77777777" w:rsidR="002C0546" w:rsidRDefault="00000000">
      <w:pPr>
        <w:pStyle w:val="BodyText"/>
        <w:rPr>
          <w:rFonts w:hint="eastAsia"/>
        </w:rPr>
      </w:pPr>
      <w:r>
        <w:rPr>
          <w:b/>
        </w:rPr>
        <w:t>Training strategy.</w:t>
      </w:r>
      <w:r>
        <w:t xml:space="preserve"> C3 versus C4 is a controlled manipulation of the distillation prompt distribution. Method, loss, teacher, sample count, step count, rank, and learning rate remain identical. Hyperparameters follow the QAD report: KL divergence rather than MSE on logits, temperature 1 for teacher and student, the original model as teacher, and a learning rate from 1e-6 to 1e-5.</w:t>
      </w:r>
    </w:p>
    <w:p w14:paraId="4783A0CA" w14:textId="77777777" w:rsidR="002C0546" w:rsidRDefault="00000000">
      <w:pPr>
        <w:pStyle w:val="BodyText"/>
        <w:rPr>
          <w:rFonts w:hint="eastAsia"/>
        </w:rPr>
      </w:pPr>
      <w:r>
        <w:rPr>
          <w:b/>
        </w:rPr>
        <w:t>Domain adaptation.</w:t>
      </w:r>
      <w:r>
        <w:t xml:space="preserve"> C4 targets recovery of a specific downstream capability while remaining data-free and label-free.</w:t>
      </w:r>
    </w:p>
    <w:p w14:paraId="1FBC4106" w14:textId="77777777" w:rsidR="002C0546" w:rsidRDefault="00000000">
      <w:pPr>
        <w:pStyle w:val="Heading2"/>
      </w:pPr>
      <w:r>
        <w:t>Ablations and Statistical Analysis</w:t>
      </w:r>
    </w:p>
    <w:p w14:paraId="141747BE" w14:textId="77777777" w:rsidR="002C0546" w:rsidRDefault="00000000">
      <w:pPr>
        <w:pStyle w:val="BodyText"/>
        <w:rPr>
          <w:rFonts w:hint="eastAsia"/>
        </w:rPr>
      </w:pPr>
      <w:r>
        <w:t>A rank sweep at r=16 and r=64 separates capability dependence from adapter-capacity limits. This is necessary because RILQ (arXiv 2412.01129) reports that low-rank compensation for quantization error underperforms below 4 bits for capacity reasons, which competes directly with the project's intended explanation.</w:t>
      </w:r>
    </w:p>
    <w:p w14:paraId="5C27FF37" w14:textId="77777777" w:rsidR="002C0546" w:rsidRDefault="00000000">
      <w:pPr>
        <w:pStyle w:val="BodyText"/>
        <w:rPr>
          <w:rFonts w:hint="eastAsia"/>
        </w:rPr>
      </w:pPr>
      <w:r>
        <w:t>Two to three seeds per trained configuration establish a noise floor below which no difference is claimed. McNemar's test is applied to paired item-level results because every configuration sees the same test items. Equivalence bounds are pre-registered so a null result for RQ2 can support a bounded positive claim.</w:t>
      </w:r>
    </w:p>
    <w:p w14:paraId="0576CDDB" w14:textId="77777777" w:rsidR="002C0546" w:rsidRDefault="00000000">
      <w:pPr>
        <w:pStyle w:val="Heading2"/>
      </w:pPr>
      <w:r>
        <w:t>Known Limitations</w:t>
      </w:r>
    </w:p>
    <w:p w14:paraId="39C3FB1D" w14:textId="77777777" w:rsidR="002C0546" w:rsidRDefault="00000000">
      <w:pPr>
        <w:pStyle w:val="BodyText"/>
        <w:ind w:left="317" w:hanging="259"/>
        <w:rPr>
          <w:rFonts w:hint="eastAsia"/>
        </w:rPr>
      </w:pPr>
      <w:r>
        <w:rPr>
          <w:b/>
        </w:rPr>
        <w:t xml:space="preserve">• </w:t>
      </w:r>
      <w:r>
        <w:t>Quantization is simulated rather than kernel-native.</w:t>
      </w:r>
    </w:p>
    <w:p w14:paraId="2E8555FD" w14:textId="77777777" w:rsidR="002C0546" w:rsidRDefault="00000000">
      <w:pPr>
        <w:pStyle w:val="BodyText"/>
        <w:ind w:left="317" w:hanging="259"/>
        <w:rPr>
          <w:rFonts w:hint="eastAsia"/>
        </w:rPr>
      </w:pPr>
      <w:r>
        <w:rPr>
          <w:b/>
        </w:rPr>
        <w:t xml:space="preserve">• </w:t>
      </w:r>
      <w:r>
        <w:t>C3 is not a strict reproduction: the source paper used Qwen3-4B with hybrid thinking, while this project uses Instruct-2507. Reasoning mode can substantially alter quantization sensitivity, so the published 80-95% figure is not used as this project's denominator.</w:t>
      </w:r>
    </w:p>
    <w:p w14:paraId="4C408534" w14:textId="77777777" w:rsidR="002C0546" w:rsidRDefault="00000000">
      <w:pPr>
        <w:pStyle w:val="BodyText"/>
        <w:ind w:left="317" w:hanging="259"/>
        <w:rPr>
          <w:rFonts w:hint="eastAsia"/>
        </w:rPr>
      </w:pPr>
      <w:r>
        <w:rPr>
          <w:b/>
        </w:rPr>
        <w:t xml:space="preserve">• </w:t>
      </w:r>
      <w:r>
        <w:t>Because distillation uses teacher-generated text, the student never sees its own error states. This remains an alternative explanation for any RQ1 result.</w:t>
      </w:r>
    </w:p>
    <w:p w14:paraId="624301DE" w14:textId="77777777" w:rsidR="002C0546" w:rsidRDefault="00000000">
      <w:pPr>
        <w:pStyle w:val="BodyText"/>
        <w:ind w:left="317" w:hanging="259"/>
        <w:rPr>
          <w:rFonts w:hint="eastAsia"/>
        </w:rPr>
      </w:pPr>
      <w:r>
        <w:rPr>
          <w:b/>
        </w:rPr>
        <w:t xml:space="preserve">• </w:t>
      </w:r>
      <w:r>
        <w:t>Shared hyperparameters were tuned on general-domain data, mildly favoring C3.</w:t>
      </w:r>
    </w:p>
    <w:sectPr w:rsidR="002C0546" w:rsidSect="00034616">
      <w:footerReference w:type="default" r:id="rId8"/>
      <w:pgSz w:w="12240" w:h="15840"/>
      <w:pgMar w:top="720" w:right="1181" w:bottom="720"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A40B02" w14:textId="77777777" w:rsidR="00457507" w:rsidRDefault="00457507">
      <w:pPr>
        <w:spacing w:after="0" w:line="240" w:lineRule="auto"/>
        <w:rPr>
          <w:rFonts w:hint="eastAsia"/>
        </w:rPr>
      </w:pPr>
      <w:r>
        <w:separator/>
      </w:r>
    </w:p>
  </w:endnote>
  <w:endnote w:type="continuationSeparator" w:id="0">
    <w:p w14:paraId="1433A982" w14:textId="77777777" w:rsidR="00457507" w:rsidRDefault="0045750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72B6F" w14:textId="77777777" w:rsidR="002C0546" w:rsidRDefault="00000000">
    <w:pPr>
      <w:pStyle w:val="Footer"/>
      <w:spacing w:before="80"/>
      <w:jc w:val="center"/>
      <w:rPr>
        <w:rFonts w:hint="eastAsia"/>
      </w:rPr>
    </w:pPr>
    <w:r>
      <w:rPr>
        <w:color w:val="5F5F5F"/>
        <w:sz w:val="16"/>
      </w:rPr>
      <w:t xml:space="preserve">Quantization Recovery and Tool Calling Reliability   |   </w:t>
    </w:r>
    <w:r>
      <w:rPr>
        <w:color w:val="5F5F5F"/>
        <w:sz w:val="16"/>
      </w:rPr>
      <w:fldChar w:fldCharType="begin"/>
    </w:r>
    <w:r>
      <w:rPr>
        <w:color w:val="5F5F5F"/>
        <w:sz w:val="16"/>
      </w:rPr>
      <w:instrText xml:space="preserve"> PAGE </w:instrText>
    </w:r>
    <w:r w:rsidR="00FF015C">
      <w:rPr>
        <w:color w:val="5F5F5F"/>
        <w:sz w:val="16"/>
      </w:rPr>
      <w:fldChar w:fldCharType="separate"/>
    </w:r>
    <w:r w:rsidR="00FF015C">
      <w:rPr>
        <w:noProof/>
        <w:color w:val="5F5F5F"/>
        <w:sz w:val="16"/>
      </w:rPr>
      <w:t>1</w:t>
    </w:r>
    <w:r>
      <w:rPr>
        <w:color w:val="5F5F5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F0BC60" w14:textId="77777777" w:rsidR="00457507" w:rsidRDefault="00457507">
      <w:pPr>
        <w:spacing w:after="0" w:line="240" w:lineRule="auto"/>
        <w:rPr>
          <w:rFonts w:hint="eastAsia"/>
        </w:rPr>
      </w:pPr>
      <w:r>
        <w:separator/>
      </w:r>
    </w:p>
  </w:footnote>
  <w:footnote w:type="continuationSeparator" w:id="0">
    <w:p w14:paraId="2FF7B5C9" w14:textId="77777777" w:rsidR="00457507" w:rsidRDefault="0045750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5159549">
    <w:abstractNumId w:val="8"/>
  </w:num>
  <w:num w:numId="2" w16cid:durableId="642539463">
    <w:abstractNumId w:val="6"/>
  </w:num>
  <w:num w:numId="3" w16cid:durableId="1937860838">
    <w:abstractNumId w:val="5"/>
  </w:num>
  <w:num w:numId="4" w16cid:durableId="91056060">
    <w:abstractNumId w:val="4"/>
  </w:num>
  <w:num w:numId="5" w16cid:durableId="1104761606">
    <w:abstractNumId w:val="7"/>
  </w:num>
  <w:num w:numId="6" w16cid:durableId="1535075016">
    <w:abstractNumId w:val="3"/>
  </w:num>
  <w:num w:numId="7" w16cid:durableId="1763647168">
    <w:abstractNumId w:val="2"/>
  </w:num>
  <w:num w:numId="8" w16cid:durableId="1904219846">
    <w:abstractNumId w:val="1"/>
  </w:num>
  <w:num w:numId="9" w16cid:durableId="1099330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546"/>
    <w:rsid w:val="00326F90"/>
    <w:rsid w:val="00457507"/>
    <w:rsid w:val="005E3AD9"/>
    <w:rsid w:val="008B27E1"/>
    <w:rsid w:val="00AA1D8D"/>
    <w:rsid w:val="00B47730"/>
    <w:rsid w:val="00B701A3"/>
    <w:rsid w:val="00CB0664"/>
    <w:rsid w:val="00FC693F"/>
    <w:rsid w:val="00FF01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7F182"/>
  <w14:defaultImageDpi w14:val="300"/>
  <w15:docId w15:val="{F4D8B8B8-7614-7D40-BE3E-1E0A26F3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7" w:lineRule="auto"/>
    </w:pPr>
    <w:rPr>
      <w:rFonts w:ascii="Aptos" w:hAnsi="Aptos"/>
      <w:color w:val="1C1C1C"/>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1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Quantization Recovery Generalize to Tool Calling Reliability</dc:title>
  <dc:subject>Project Proposal</dc:subject>
  <dc:creator>Hassaan Muzammil</dc:creator>
  <cp:keywords/>
  <dc:description>generated by python-docx</dc:description>
  <cp:lastModifiedBy>Syed Muzammil</cp:lastModifiedBy>
  <cp:revision>5</cp:revision>
  <dcterms:created xsi:type="dcterms:W3CDTF">2013-12-23T23:15:00Z</dcterms:created>
  <dcterms:modified xsi:type="dcterms:W3CDTF">2026-09-09T03:34:00Z</dcterms:modified>
  <cp:category/>
</cp:coreProperties>
</file>