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الهجرة إلى أستراليا للكفاءات</w:t>
      </w:r>
    </w:p>
    <w:p>
      <w:pPr>
        <w:jc w:val="right"/>
      </w:pPr>
      <w:r>
        <w:t>نظام نقاط يعتمد على السن والمؤهل والخبرة.</w:t>
      </w:r>
    </w:p>
    <w:p>
      <w:pPr>
        <w:jc w:val="right"/>
      </w:pPr>
      <w:r>
        <w:t>إقامة دائمة من أول يوم.</w:t>
      </w:r>
    </w:p>
    <w:p>
      <w:pPr>
        <w:jc w:val="right"/>
      </w:pPr>
      <w:r>
        <w:t>جنسية بعد 4 سنوات.</w:t>
      </w:r>
    </w:p>
    <w:p>
      <w:pPr>
        <w:jc w:val="right"/>
      </w:pPr>
      <w:r>
        <w:t>خبرة 4 سنوات + شهادة PTE.</w:t>
      </w:r>
    </w:p>
    <w:p>
      <w:pPr>
        <w:jc w:val="right"/>
      </w:pPr>
      <w:r>
        <w:t>مدة الإجراءات 6–12 شهر.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