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الهجرة إلى نيوزيلندا – Skilled Migrant</w:t>
      </w:r>
    </w:p>
    <w:p>
      <w:pPr>
        <w:jc w:val="right"/>
      </w:pPr>
      <w:r>
        <w:t>نظام نقاط – 160 نقطة.</w:t>
      </w:r>
    </w:p>
    <w:p>
      <w:pPr>
        <w:jc w:val="right"/>
      </w:pPr>
      <w:r>
        <w:t>السن حتى 54 سنة.</w:t>
      </w:r>
    </w:p>
    <w:p>
      <w:pPr>
        <w:jc w:val="right"/>
      </w:pPr>
      <w:r>
        <w:t>مؤهل جامعي + خبرة سنتين.</w:t>
      </w:r>
    </w:p>
    <w:p>
      <w:pPr>
        <w:jc w:val="right"/>
      </w:pPr>
      <w:r>
        <w:t>IELTS 6.5 أو TOEFL 79.</w:t>
      </w:r>
    </w:p>
    <w:p>
      <w:pPr>
        <w:jc w:val="right"/>
      </w:pPr>
      <w:r>
        <w:t>إقامة دائمة + جنسية بعد 5 سنوات.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