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فيزا البرتغال D7 – الدخل السلبي</w:t>
      </w:r>
    </w:p>
    <w:p>
      <w:pPr>
        <w:jc w:val="right"/>
      </w:pPr>
      <w:r>
        <w:t>إقامة سنتين ثم 3 سنوات.</w:t>
      </w:r>
    </w:p>
    <w:p>
      <w:pPr>
        <w:jc w:val="right"/>
      </w:pPr>
      <w:r>
        <w:t>إقامة دائمة بعد 5 سنوات.</w:t>
      </w:r>
    </w:p>
    <w:p>
      <w:pPr>
        <w:jc w:val="right"/>
      </w:pPr>
      <w:r>
        <w:t>دخل 10,500 يورو سنوياً للفرد.</w:t>
      </w:r>
    </w:p>
    <w:p>
      <w:pPr>
        <w:jc w:val="right"/>
      </w:pPr>
      <w:r>
        <w:t>تعليم مجاني + تنقل شنجن.</w:t>
      </w:r>
    </w:p>
    <w:p>
      <w:pPr>
        <w:jc w:val="right"/>
      </w:pPr>
      <w:r>
        <w:t>عقد إيجار + تأمين صحي + سجل جنائي.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