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فيزا الدراسة (Student Visa)</w:t>
      </w:r>
    </w:p>
    <w:p>
      <w:pPr>
        <w:jc w:val="right"/>
      </w:pPr>
      <w:r>
        <w:t>تعتمد على القدرة المالية.</w:t>
      </w:r>
    </w:p>
    <w:p>
      <w:pPr>
        <w:jc w:val="right"/>
      </w:pPr>
      <w:r>
        <w:t>الحد الأدنى للحساب البنكي: 500,000 جنيه.</w:t>
      </w:r>
    </w:p>
    <w:p>
      <w:pPr>
        <w:jc w:val="right"/>
      </w:pPr>
      <w:r>
        <w:t>اختيار تخصص وجامعة عبر استشارة.</w:t>
      </w:r>
    </w:p>
    <w:p>
      <w:pPr>
        <w:jc w:val="right"/>
      </w:pPr>
      <w:r>
        <w:t>يسمح بالعمل 20 ساعة أسبوعياً.</w:t>
      </w:r>
    </w:p>
    <w:p>
      <w:pPr>
        <w:jc w:val="right"/>
      </w:pPr>
      <w:r>
        <w:t>إمكانية اصطحاب أطفال أقل من 18 سنة.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