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pPr>
      <w:r>
        <w:rPr>
          <w:b/>
          <w:color w:val="070D1B"/>
          <w:sz w:val="40"/>
        </w:rPr>
        <w:t>Planning du Sprint 4</w:t>
        <w:br/>
      </w:r>
      <w:r>
        <w:rPr>
          <w:b/>
          <w:color w:val="4F81BD"/>
          <w:sz w:val="26"/>
        </w:rPr>
        <w:t>Gestion du Carburant, Maintenance du Parc &amp; Reporting (03/08 – 07/08)</w:t>
      </w:r>
    </w:p>
    <w:p>
      <w:pPr>
        <w:pStyle w:val="Heading1"/>
      </w:pPr>
      <w:r>
        <w:rPr>
          <w:color w:val="070D1B"/>
          <w:sz w:val="26"/>
        </w:rPr>
        <w:t>1. Informations Générales</w:t>
      </w:r>
    </w:p>
    <w:tbl>
      <w:tblPr>
        <w:tblW w:type="auto" w:w="0"/>
        <w:jc w:val="center"/>
        <w:tblLayout w:type="fixed"/>
        <w:tblLook w:firstColumn="1" w:firstRow="1" w:lastColumn="0" w:lastRow="0" w:noHBand="0" w:noVBand="1" w:val="04A0"/>
      </w:tblPr>
      <w:tblGrid>
        <w:gridCol w:w="4968"/>
        <w:gridCol w:w="4968"/>
      </w:tblGrid>
      <w:tr>
        <w:tc>
          <w:tcPr>
            <w:tcW w:type="dxa" w:w="4968"/>
          </w:tcPr>
          <w:p>
            <w:r>
              <w:rPr>
                <w:b/>
                <w:color w:val="070D1B"/>
              </w:rPr>
              <w:t>Sprint</w:t>
            </w:r>
          </w:p>
        </w:tc>
        <w:tc>
          <w:tcPr>
            <w:tcW w:type="dxa" w:w="4968"/>
          </w:tcPr>
          <w:p>
            <w:r>
              <w:t>Sprint 4</w:t>
            </w:r>
          </w:p>
        </w:tc>
      </w:tr>
      <w:tr>
        <w:tc>
          <w:tcPr>
            <w:tcW w:type="dxa" w:w="4968"/>
          </w:tcPr>
          <w:p>
            <w:r>
              <w:rPr>
                <w:b/>
                <w:color w:val="070D1B"/>
              </w:rPr>
              <w:t>Période prévisionnelle</w:t>
            </w:r>
          </w:p>
        </w:tc>
        <w:tc>
          <w:tcPr>
            <w:tcW w:type="dxa" w:w="4968"/>
          </w:tcPr>
          <w:p>
            <w:r>
              <w:t>03/08/2026 au 07/08/2026</w:t>
            </w:r>
          </w:p>
        </w:tc>
      </w:tr>
      <w:tr>
        <w:tc>
          <w:tcPr>
            <w:tcW w:type="dxa" w:w="4968"/>
          </w:tcPr>
          <w:p>
            <w:r>
              <w:rPr>
                <w:b/>
                <w:color w:val="070D1B"/>
              </w:rPr>
              <w:t>Objectif</w:t>
            </w:r>
          </w:p>
        </w:tc>
        <w:tc>
          <w:tcPr>
            <w:tcW w:type="dxa" w:w="4968"/>
          </w:tcPr>
          <w:p>
            <w:r>
              <w:t>Concevoir et implémenter les modules de suivi de la consommation de carburant, de gestion de la maintenance préventive et curative du parc automobile, d'alertes d'échéances (assurances, contrôles techniques, vignettes) et du reporting exécutif (TCO).</w:t>
            </w:r>
          </w:p>
        </w:tc>
      </w:tr>
    </w:tbl>
    <w:p>
      <w:pPr>
        <w:spacing w:after="240"/>
      </w:pPr>
    </w:p>
    <w:p>
      <w:pPr>
        <w:pStyle w:val="Heading1"/>
      </w:pPr>
      <w:r>
        <w:rPr>
          <w:color w:val="070D1B"/>
          <w:sz w:val="26"/>
        </w:rPr>
        <w:t>2. Contenu du Sprint 4</w:t>
      </w:r>
    </w:p>
    <w:p>
      <w:pPr>
        <w:pStyle w:val="Heading2"/>
      </w:pPr>
      <w:r>
        <w:rPr>
          <w:color w:val="4F81BD"/>
          <w:sz w:val="23"/>
        </w:rPr>
        <w:t>2.1. Fonctionnalités Prévues (Backlog du Sprint)</w:t>
      </w:r>
    </w:p>
    <w:p>
      <w:r>
        <w:rPr>
          <w:b/>
          <w:color w:val="070D1B"/>
        </w:rPr>
        <w:t>• 1. Suivi de la Consommation de Carburant &amp; Cartes/Vignettes</w:t>
        <w:br/>
      </w:r>
    </w:p>
    <w:p>
      <w:pPr>
        <w:ind w:left="288"/>
      </w:pPr>
      <w:r>
        <w:rPr>
          <w:b/>
        </w:rPr>
        <w:t xml:space="preserve">- </w:t>
      </w:r>
      <w:r>
        <w:t>Gestion des cartes carburant et vignettes attribuées aux véhicules/services du Ministère.</w:t>
      </w:r>
    </w:p>
    <w:p>
      <w:pPr>
        <w:ind w:left="288"/>
      </w:pPr>
      <w:r>
        <w:rPr>
          <w:b/>
        </w:rPr>
        <w:t xml:space="preserve">- </w:t>
      </w:r>
      <w:r>
        <w:t>Saisie des recharges carburant : date du plein, véhicule, station-service, litrage, montant TTC (MAD), kilométrage au moment du plein.</w:t>
      </w:r>
    </w:p>
    <w:p>
      <w:pPr>
        <w:ind w:left="288"/>
      </w:pPr>
      <w:r>
        <w:rPr>
          <w:b/>
        </w:rPr>
        <w:t xml:space="preserve">- </w:t>
      </w:r>
      <w:r>
        <w:t>Calcul automatique de la consommation moyenne aux 100 km (L/100 km) et détection des anomalies de surconsommation.</w:t>
      </w:r>
    </w:p>
    <w:p>
      <w:r>
        <w:rPr>
          <w:b/>
          <w:color w:val="070D1B"/>
        </w:rPr>
        <w:t>• 2. Gestion de la Maintenance Préventive &amp; Curative (Réparations)</w:t>
        <w:br/>
      </w:r>
    </w:p>
    <w:p>
      <w:pPr>
        <w:ind w:left="288"/>
      </w:pPr>
      <w:r>
        <w:rPr>
          <w:b/>
        </w:rPr>
        <w:t xml:space="preserve">- </w:t>
      </w:r>
      <w:r>
        <w:t>Programmation des entretiens préventifs : vidanges, pneumatiques, révisions périodiques par seuil de kilométrage.</w:t>
      </w:r>
    </w:p>
    <w:p>
      <w:pPr>
        <w:ind w:left="288"/>
      </w:pPr>
      <w:r>
        <w:rPr>
          <w:b/>
        </w:rPr>
        <w:t xml:space="preserve">- </w:t>
      </w:r>
      <w:r>
        <w:t>Enregistrement des pannes et réclamations : saisie des interventions curatives, garages agréés, pièces remplacées et coût des réparations.</w:t>
      </w:r>
    </w:p>
    <w:p>
      <w:pPr>
        <w:ind w:left="288"/>
      </w:pPr>
      <w:r>
        <w:rPr>
          <w:b/>
        </w:rPr>
        <w:t xml:space="preserve">- </w:t>
      </w:r>
      <w:r>
        <w:t>Suivi des échéances légales : alertes automatiques pour l'expiration des contrats d'assurance, visites techniques et vignettes automatiques.</w:t>
      </w:r>
    </w:p>
    <w:p>
      <w:r>
        <w:rPr>
          <w:b/>
          <w:color w:val="070D1B"/>
        </w:rPr>
        <w:t>• 3. Reporting Exécutif, Dashboard Analytique &amp; Exportations (TCO)</w:t>
        <w:br/>
      </w:r>
    </w:p>
    <w:p>
      <w:pPr>
        <w:ind w:left="288"/>
      </w:pPr>
      <w:r>
        <w:rPr>
          <w:b/>
        </w:rPr>
        <w:t xml:space="preserve">- </w:t>
      </w:r>
      <w:r>
        <w:t>Calcul du Coût Global d'Exploitation (Total Cost of Ownership - TCO) par véhicule et par Direction MEF (Acquisition + Carburant + Maintenance).</w:t>
      </w:r>
    </w:p>
    <w:p>
      <w:pPr>
        <w:ind w:left="288"/>
      </w:pPr>
      <w:r>
        <w:rPr>
          <w:b/>
        </w:rPr>
        <w:t xml:space="preserve">- </w:t>
      </w:r>
      <w:r>
        <w:t>Graphiques de performance ministérielle : évolution des dépenses mensuelles, taux d'immobilisation et bilan environnemental (émissions CO2).</w:t>
      </w:r>
    </w:p>
    <w:p>
      <w:pPr>
        <w:ind w:left="288"/>
      </w:pPr>
      <w:r>
        <w:rPr>
          <w:b/>
        </w:rPr>
        <w:t xml:space="preserve">- </w:t>
      </w:r>
      <w:r>
        <w:t>Exportation des rapports de synthèse aux formats Excel (.xlsx) et PDF pour la Direction du Budget et du DAG.</w:t>
      </w:r>
    </w:p>
    <w:p>
      <w:pPr>
        <w:spacing w:after="200"/>
      </w:pPr>
    </w:p>
    <w:p>
      <w:pPr>
        <w:pStyle w:val="Heading2"/>
      </w:pPr>
      <w:r>
        <w:rPr>
          <w:color w:val="4F81BD"/>
          <w:sz w:val="23"/>
        </w:rPr>
        <w:t>2.2. Règles de Gestion et Validations Strictes</w:t>
      </w:r>
    </w:p>
    <w:p>
      <w:pPr>
        <w:ind w:left="144"/>
      </w:pPr>
      <w:r>
        <w:rPr>
          <w:color w:val="4F81BD"/>
        </w:rPr>
        <w:t xml:space="preserve">✔ </w:t>
      </w:r>
      <w:r>
        <w:t>Le kilométrage saisi lors d'un plein de carburant doit être supérieur ou égal au dernier kilométrage connu du véhicule.</w:t>
      </w:r>
    </w:p>
    <w:p>
      <w:pPr>
        <w:ind w:left="144"/>
      </w:pPr>
      <w:r>
        <w:rPr>
          <w:color w:val="4F81BD"/>
        </w:rPr>
        <w:t xml:space="preserve">✔ </w:t>
      </w:r>
      <w:r>
        <w:t>Une alerte automatique d'entretien préventif doit se déclencher lorsque le véhicule atteint 90% du seuil kilométrique (ex: 10 000 km).</w:t>
      </w:r>
    </w:p>
    <w:p>
      <w:pPr>
        <w:ind w:left="144"/>
      </w:pPr>
      <w:r>
        <w:rPr>
          <w:color w:val="4F81BD"/>
        </w:rPr>
        <w:t xml:space="preserve">✔ </w:t>
      </w:r>
      <w:r>
        <w:t>Chaque dépense d'entretien ou de carburant doit être rattachée à un véhicule existant et valider le budget annuel de la Direction MEF.</w:t>
      </w:r>
    </w:p>
    <w:p>
      <w:pPr>
        <w:ind w:left="144"/>
      </w:pPr>
      <w:r>
        <w:rPr>
          <w:color w:val="4F81BD"/>
        </w:rPr>
        <w:t xml:space="preserve">✔ </w:t>
      </w:r>
      <w:r>
        <w:t>L'immobilisation d'un véhicule pour maintenance lourde doit automatiquement passer son statut administratif à EN_MAINTENANCE.</w:t>
      </w:r>
    </w:p>
    <w:p>
      <w:pPr>
        <w:spacing w:after="240"/>
      </w:pPr>
    </w:p>
    <w:p>
      <w:pPr>
        <w:pStyle w:val="Heading1"/>
      </w:pPr>
      <w:r>
        <w:rPr>
          <w:color w:val="070D1B"/>
          <w:sz w:val="26"/>
        </w:rPr>
        <w:t>3. Livrables Attendus</w:t>
      </w:r>
    </w:p>
    <w:p>
      <w:pPr>
        <w:ind w:left="144"/>
      </w:pPr>
      <w:r>
        <w:rPr>
          <w:color w:val="070D1B"/>
        </w:rPr>
        <w:t xml:space="preserve">✔ </w:t>
      </w:r>
      <w:r>
        <w:t>Base de Données : Entités JPA PleinCarburant, InterventionMaintenance et CarteCarburant sous PostgreSQL.</w:t>
      </w:r>
    </w:p>
    <w:p>
      <w:pPr>
        <w:ind w:left="144"/>
      </w:pPr>
      <w:r>
        <w:rPr>
          <w:color w:val="070D1B"/>
        </w:rPr>
        <w:t xml:space="preserve">✔ </w:t>
      </w:r>
      <w:r>
        <w:t>Repositories &amp; Services : CarburantService, MaintenanceService et ReportingService avec calcul du TCO.</w:t>
      </w:r>
    </w:p>
    <w:p>
      <w:pPr>
        <w:ind w:left="144"/>
      </w:pPr>
      <w:r>
        <w:rPr>
          <w:color w:val="070D1B"/>
        </w:rPr>
        <w:t xml:space="preserve">✔ </w:t>
      </w:r>
      <w:r>
        <w:t>Contrôleurs REST : Endpoints CRUD /api/carburant, /api/maintenance et /api/reporting sécurisés sous Swagger UI.</w:t>
      </w:r>
    </w:p>
    <w:p>
      <w:pPr>
        <w:ind w:left="144"/>
      </w:pPr>
      <w:r>
        <w:rPr>
          <w:color w:val="070D1B"/>
        </w:rPr>
        <w:t xml:space="preserve">✔ </w:t>
      </w:r>
      <w:r>
        <w:t>Frontend React : Vues /carburant, /maintenance et /reporting avec alertes d'échéances et exportations Excel/PDF.</w:t>
      </w:r>
    </w:p>
    <w:p>
      <w:pPr>
        <w:ind w:left="144"/>
      </w:pPr>
      <w:r>
        <w:rPr>
          <w:color w:val="070D1B"/>
        </w:rPr>
        <w:t xml:space="preserve">✔ </w:t>
      </w:r>
      <w:r>
        <w:t>Démonstration prévue : Vendredi 7 août 2026 à 11h30.</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