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070D1B"/>
          <w:sz w:val="36"/>
        </w:rPr>
        <w:t>Planning du Sprint 5 (Version Finale — 100% CdC MEF)</w:t>
        <w:br/>
      </w:r>
      <w:r>
        <w:rPr>
          <w:b/>
          <w:color w:val="4F81BD"/>
          <w:sz w:val="23"/>
        </w:rPr>
        <w:t>Assurances &amp; Sinistres, Visites &amp; Réforme, Budget &amp; Prévisions, Infractions, Sécurité &amp; Notifications (10/08 – 14/08)</w:t>
      </w:r>
    </w:p>
    <w:p>
      <w:pPr>
        <w:pStyle w:val="Heading1"/>
      </w:pPr>
      <w:r>
        <w:rPr>
          <w:color w:val="070D1B"/>
          <w:sz w:val="25"/>
        </w:rPr>
        <w:t>1. Informations Générales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70D1B"/>
              </w:rPr>
              <w:t>Sprint</w:t>
            </w:r>
          </w:p>
        </w:tc>
        <w:tc>
          <w:tcPr>
            <w:tcW w:type="dxa" w:w="4968"/>
          </w:tcPr>
          <w:p>
            <w:r>
              <w:t>Sprint 5 (Sprint Final de Clôture du Périmètre Functional CdC)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70D1B"/>
              </w:rPr>
              <w:t>Période prévisionnelle</w:t>
            </w:r>
          </w:p>
        </w:tc>
        <w:tc>
          <w:tcPr>
            <w:tcW w:type="dxa" w:w="4968"/>
          </w:tcPr>
          <w:p>
            <w:r>
              <w:t>10/08/2026 au 14/08/2026 (5 jours ouvrés)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70D1B"/>
              </w:rPr>
              <w:t>Score de Conformité CdC</w:t>
            </w:r>
          </w:p>
        </w:tc>
        <w:tc>
          <w:tcPr>
            <w:tcW w:type="dxa" w:w="4968"/>
          </w:tcPr>
          <w:p>
            <w:r>
              <w:t>100% des exigences fonctionnelles et techniques du Cahier des Charges MEF couvertes.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70D1B"/>
              </w:rPr>
              <w:t>Objectif Principal</w:t>
            </w:r>
          </w:p>
        </w:tc>
        <w:tc>
          <w:tcPr>
            <w:tcW w:type="dxa" w:w="4968"/>
          </w:tcPr>
          <w:p>
            <w:r>
              <w:t>Finaliser les modules d'Assurances, Sinistres, Infractions/PV, Visites Techniques, Taxes, Procédure de Réforme des véhicules, Prévisions de consommation de carburant, Suivi Budgétaire Analytique, Sécurité RBAC/Audit, Service d'Alertes Email (JavaMailSender) et GED Sécurisée.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70D1B"/>
          <w:sz w:val="25"/>
        </w:rPr>
        <w:t>2. Contenu du Sprint 5</w:t>
      </w:r>
    </w:p>
    <w:p>
      <w:pPr>
        <w:pStyle w:val="Heading2"/>
      </w:pPr>
      <w:r>
        <w:rPr>
          <w:color w:val="4F81BD"/>
          <w:sz w:val="22"/>
        </w:rPr>
        <w:t>2.1. Fonctionnalités Prévues (Backlog 100% CdC MEF)</w:t>
      </w:r>
    </w:p>
    <w:p>
      <w:r>
        <w:rPr>
          <w:b/>
          <w:color w:val="070D1B"/>
        </w:rPr>
        <w:t>• 1. Assurances, Traitement des Sinistres &amp; Infractions Routières (PV/Amendes)</w:t>
        <w:br/>
      </w:r>
    </w:p>
    <w:p>
      <w:pPr>
        <w:ind w:left="288"/>
      </w:pPr>
      <w:r>
        <w:rPr>
          <w:b/>
        </w:rPr>
        <w:t xml:space="preserve">- </w:t>
      </w:r>
      <w:r>
        <w:t>Assurances : Suivi des contrats d'assurance, polices, compagnies (AXA, RMA, Wafa), garanties (tous risques, tiers, vol), primes, franchises et alertes J-30 avant expiration.</w:t>
      </w:r>
    </w:p>
    <w:p>
      <w:pPr>
        <w:ind w:left="288"/>
      </w:pPr>
      <w:r>
        <w:rPr>
          <w:b/>
        </w:rPr>
        <w:t xml:space="preserve">- </w:t>
      </w:r>
      <w:r>
        <w:t>Sinistres : Déclaration des accidents (date, lieu, conducteur, tiers impliqués, constats, photos, dommages), expertises d'assurance, indemnisations et clôture du dossier.</w:t>
      </w:r>
    </w:p>
    <w:p>
      <w:pPr>
        <w:ind w:left="288"/>
      </w:pPr>
      <w:r>
        <w:rPr>
          <w:b/>
        </w:rPr>
        <w:t xml:space="preserve">- </w:t>
      </w:r>
      <w:r>
        <w:t>Infractions &amp; Contraventions (CdC Section 4 &amp; 9) : Saisie des PV/amendes radar rattachés aux véhicules et aux conducteurs lors de leurs missions, suivi des paiements et régularisation.</w:t>
      </w:r>
    </w:p>
    <w:p>
      <w:r>
        <w:rPr>
          <w:b/>
          <w:color w:val="070D1B"/>
        </w:rPr>
        <w:t>• 2. Visites Techniques, Taxes Automobiles &amp; Workflow de Réforme des Véhicules</w:t>
        <w:br/>
      </w:r>
    </w:p>
    <w:p>
      <w:pPr>
        <w:ind w:left="288"/>
      </w:pPr>
      <w:r>
        <w:rPr>
          <w:b/>
        </w:rPr>
        <w:t xml:space="preserve">- </w:t>
      </w:r>
      <w:r>
        <w:t>Visites Techniques &amp; Taxes : Contrôles réglementaires, PV de visite (favorable, contre-visite sous 15j), vignettes automobiles et suivi des statuts (payé, exonéré, en retard).</w:t>
      </w:r>
    </w:p>
    <w:p>
      <w:pPr>
        <w:ind w:left="288"/>
      </w:pPr>
      <w:r>
        <w:rPr>
          <w:b/>
        </w:rPr>
        <w:t xml:space="preserve">- </w:t>
      </w:r>
      <w:r>
        <w:t>Procédure de Réforme &amp; Sortie d'Inventaire (CdC Section 6.4 &amp; 7.1) : Workflow de déclassement des véhicules vétustes/réformés (EN_COURS_DE_REFORME, REFORME, VENDU), attachement du PV de commission de réforme et sortie formelle de l'inventaire actif du MEF.</w:t>
      </w:r>
    </w:p>
    <w:p>
      <w:r>
        <w:rPr>
          <w:b/>
          <w:color w:val="070D1B"/>
        </w:rPr>
        <w:t>• 3. Suivi Budgétaire Analytique &amp; Moteur de Prévisions Carburant</w:t>
        <w:br/>
      </w:r>
    </w:p>
    <w:p>
      <w:pPr>
        <w:ind w:left="288"/>
      </w:pPr>
      <w:r>
        <w:rPr>
          <w:b/>
        </w:rPr>
        <w:t xml:space="preserve">- </w:t>
      </w:r>
      <w:r>
        <w:t>Gestion Budgétaire MEF : Allocation annuelle par Direction/Service et nature de dépense (Carburant, Assurance, Entretien, Réparation, Taxes, Visites), suivi Prévu vs Engagé vs Réalisé vs Restant.</w:t>
      </w:r>
    </w:p>
    <w:p>
      <w:pPr>
        <w:ind w:left="288"/>
      </w:pPr>
      <w:r>
        <w:rPr>
          <w:b/>
        </w:rPr>
        <w:t xml:space="preserve">- </w:t>
      </w:r>
      <w:r>
        <w:t>Prévisions de Consommation Carburant (CdC Section 10) : Calcul automatique des besoins futurs (Quantité Prévue = km_prévu × conso_moyenne / 100 ; Montant Prévu = Quantité × Prix_prévu) par Direction et par mois.</w:t>
      </w:r>
    </w:p>
    <w:p>
      <w:r>
        <w:rPr>
          <w:b/>
          <w:color w:val="070D1B"/>
        </w:rPr>
        <w:t>• 4. Administration RBAC, Audit Logs, NotificationService (Email) &amp; GED Sécurisée</w:t>
        <w:br/>
      </w:r>
    </w:p>
    <w:p>
      <w:pPr>
        <w:ind w:left="288"/>
      </w:pPr>
      <w:r>
        <w:rPr>
          <w:b/>
        </w:rPr>
        <w:t xml:space="preserve">- </w:t>
      </w:r>
      <w:r>
        <w:t>Sécurité &amp; Enums Harmonises : Rôles RBAC (Admin, Gestionnaire Central/Local, Financier, Conducteur) et harmonisation de l'Enum StatutVehicule (DISPONIBLE, AFFECTE, RESERVE, IMMOBILISE, EN_ENTRETIEN, EN_REPARATION, ACCIDENTE, EN_COURS_DE_REFORME, REFORME, VENDU, RESTITUE, ARCHIVE).</w:t>
      </w:r>
    </w:p>
    <w:p>
      <w:pPr>
        <w:ind w:left="288"/>
      </w:pPr>
      <w:r>
        <w:rPr>
          <w:b/>
        </w:rPr>
        <w:t xml:space="preserve">- </w:t>
      </w:r>
      <w:r>
        <w:t>Moteur de Notifications Multi-canaux (CdC Section 21) : Configuration de JavaMailSender (SMTP) pour l'envoi automatique de courriels d'alerte (Assurance J-30, Contrôle technique, Permis expirant, Dépassement budget).</w:t>
      </w:r>
    </w:p>
    <w:p>
      <w:pPr>
        <w:ind w:left="288"/>
      </w:pPr>
      <w:r>
        <w:rPr>
          <w:b/>
        </w:rPr>
        <w:t xml:space="preserve">- </w:t>
      </w:r>
      <w:r>
        <w:t>GED Sécurisée &amp; Audit Logs : Stockage sécurisé sur disque avec validation MIME (PDF, PNG, JPG), prévisualisation native React et journalisation immutable des actions sensibles (AuditLog).</w:t>
      </w:r>
    </w:p>
    <w:p>
      <w:pPr>
        <w:spacing w:after="160"/>
      </w:pPr>
    </w:p>
    <w:p>
      <w:pPr>
        <w:pStyle w:val="Heading2"/>
      </w:pPr>
      <w:r>
        <w:rPr>
          <w:color w:val="4F81BD"/>
          <w:sz w:val="22"/>
        </w:rPr>
        <w:t>2.2. Priorisation MoSCoW &amp; Règles de Gestion Métier</w:t>
      </w:r>
    </w:p>
    <w:p>
      <w:pPr>
        <w:ind w:left="144"/>
      </w:pPr>
      <w:r>
        <w:rPr>
          <w:color w:val="070D1B"/>
        </w:rPr>
        <w:t xml:space="preserve">📌 </w:t>
      </w:r>
      <w:r>
        <w:t>Must Have (Impératif) : Assurances, Sinistres, Visites Techniques/Contre-visites, Taxes, Procédure de Réforme, Sécurité RBAC/Audit &amp; Notifications Email (JavaMailSender).</w:t>
      </w:r>
    </w:p>
    <w:p>
      <w:pPr>
        <w:ind w:left="144"/>
      </w:pPr>
      <w:r>
        <w:rPr>
          <w:color w:val="070D1B"/>
        </w:rPr>
        <w:t xml:space="preserve">📌 </w:t>
      </w:r>
      <w:r>
        <w:t>Should Have (Essentiel) : Suivi Budgétaire analytique, Moteur de Prévision Carburant, Gestion des Infractions/PV &amp; GED Sécurisée.</w:t>
      </w:r>
    </w:p>
    <w:p>
      <w:pPr>
        <w:ind w:left="144"/>
      </w:pPr>
      <w:r>
        <w:rPr>
          <w:color w:val="070D1B"/>
        </w:rPr>
        <w:t xml:space="preserve">📌 </w:t>
      </w:r>
      <w:r>
        <w:t>Could Have (Optionnel) : Prévisualisation native des fichiers Word/Excel complexes dans le navigateur web.</w:t>
      </w:r>
    </w:p>
    <w:p>
      <w:pPr>
        <w:spacing w:after="80"/>
      </w:pPr>
    </w:p>
    <w:p>
      <w:pPr>
        <w:ind w:left="144"/>
      </w:pPr>
      <w:r>
        <w:rPr>
          <w:color w:val="4F81BD"/>
        </w:rPr>
        <w:t xml:space="preserve">✔ </w:t>
      </w:r>
      <w:r>
        <w:t>RG01 — Une déclaration de sinistre ou le passage en réforme passe automatiquement le véhicule aux statuts ACCIDENTE, EN_REPARATION ou EN_COURS_DE_REFORME et alerte le Gestionnaire Central.</w:t>
      </w:r>
    </w:p>
    <w:p>
      <w:pPr>
        <w:ind w:left="144"/>
      </w:pPr>
      <w:r>
        <w:rPr>
          <w:color w:val="4F81BD"/>
        </w:rPr>
        <w:t xml:space="preserve">✔ </w:t>
      </w:r>
      <w:r>
        <w:t>RG02 — Aucun véhicule ne peut être affecté sans contrat d'assurance actif ; un blocage strict et une notification email SMTP sont émis à J-30 avant expiration.</w:t>
      </w:r>
    </w:p>
    <w:p>
      <w:pPr>
        <w:ind w:left="144"/>
      </w:pPr>
      <w:r>
        <w:rPr>
          <w:color w:val="4F81BD"/>
        </w:rPr>
        <w:t xml:space="preserve">✔ </w:t>
      </w:r>
      <w:r>
        <w:t>RG03 — Un résultat de visite technique CONTRE_VISITE_OBLIGATOIRE génère automatiquement un ordre de réparation sous 15 jours.</w:t>
      </w:r>
    </w:p>
    <w:p>
      <w:pPr>
        <w:ind w:left="144"/>
      </w:pPr>
      <w:r>
        <w:rPr>
          <w:color w:val="4F81BD"/>
        </w:rPr>
        <w:t xml:space="preserve">✔ </w:t>
      </w:r>
      <w:r>
        <w:t>RG04 — Toute réforme de véhicule exige le téléversement obligatoire du Procès-Verbal de la Commission de Réforme avant validation finale.</w:t>
      </w:r>
    </w:p>
    <w:p>
      <w:pPr>
        <w:ind w:left="144"/>
      </w:pPr>
      <w:r>
        <w:rPr>
          <w:color w:val="4F81BD"/>
        </w:rPr>
        <w:t xml:space="preserve">✔ </w:t>
      </w:r>
      <w:r>
        <w:t>RG05 — Toute action de création, modification ou suppression sur des données budgétaires ou administratives est journalisée de façon immutable dans AuditLog.</w:t>
      </w:r>
    </w:p>
    <w:p>
      <w:pPr>
        <w:spacing w:after="200"/>
      </w:pPr>
    </w:p>
    <w:p>
      <w:pPr>
        <w:pStyle w:val="Heading1"/>
      </w:pPr>
      <w:r>
        <w:rPr>
          <w:color w:val="070D1B"/>
          <w:sz w:val="25"/>
        </w:rPr>
        <w:t>3. Livrables Attendus (Périmètre Final)</w:t>
      </w:r>
    </w:p>
    <w:p>
      <w:pPr>
        <w:ind w:left="144"/>
      </w:pPr>
      <w:r>
        <w:rPr>
          <w:color w:val="070D1B"/>
        </w:rPr>
        <w:t xml:space="preserve">✔ </w:t>
      </w:r>
      <w:r>
        <w:t>Base de Données PostgreSQL : Entités JPA Assurance, Sinistre, Infraction, VisiteTechnique, TaxeAutomobile, ReframeVehicule, PrevisionCarburant, BudgetDirection, Utilisateur, Role, DocumentGED et AuditLog avec migration Liquibase/Flyway de Enum StatutVehicule.</w:t>
      </w:r>
    </w:p>
    <w:p>
      <w:pPr>
        <w:ind w:left="144"/>
      </w:pPr>
      <w:r>
        <w:rPr>
          <w:color w:val="070D1B"/>
        </w:rPr>
        <w:t xml:space="preserve">✔ </w:t>
      </w:r>
      <w:r>
        <w:t>Repositories &amp; Services Java : Services métiers incluant NotificationService (JavaMailSender), PrevisionCarburantService, ReframeService, InfractionService, BudgetService, AuditLogService, DocumentGEDService.</w:t>
      </w:r>
    </w:p>
    <w:p>
      <w:pPr>
        <w:ind w:left="144"/>
      </w:pPr>
      <w:r>
        <w:rPr>
          <w:color w:val="070D1B"/>
        </w:rPr>
        <w:t xml:space="preserve">✔ </w:t>
      </w:r>
      <w:r>
        <w:t>Contrôleurs REST &amp; API Swagger UI : Endpoints sécurisés /api/assurances, /api/sinistres, /api/infractions, /api/visites-techniques, /api/reformes, /api/previsions-carburant, /api/budgets, /api/users, /api/notifications et /api/documents.</w:t>
      </w:r>
    </w:p>
    <w:p>
      <w:pPr>
        <w:ind w:left="144"/>
      </w:pPr>
      <w:r>
        <w:rPr>
          <w:color w:val="070D1B"/>
        </w:rPr>
        <w:t xml:space="preserve">✔ </w:t>
      </w:r>
      <w:r>
        <w:t>Frontend React : Vues /assurances, /sinistres, /infractions, /visites-techniques, /reforme, /previsions, /budget, /administration et viewer /documents.</w:t>
      </w:r>
    </w:p>
    <w:p>
      <w:pPr>
        <w:ind w:left="144"/>
      </w:pPr>
      <w:r>
        <w:rPr>
          <w:color w:val="070D1B"/>
        </w:rPr>
        <w:t xml:space="preserve">✔ </w:t>
      </w:r>
      <w:r>
        <w:t>Démonstration &amp; Recette Finale Complète : Vendredi 14 août 2026 à 11h30 (Couverture 100% Cahier des Charges MEF).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