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BF24" w14:textId="3B4954CA" w:rsidR="000031E1" w:rsidRDefault="00000000">
      <w:r>
        <w:rPr>
          <w:b/>
          <w:color w:val="0A1E3F"/>
          <w:sz w:val="36"/>
        </w:rPr>
        <w:t xml:space="preserve">Sprint 5 — Assurances, Sinistres, Budget &amp; Sécurité  </w:t>
      </w:r>
    </w:p>
    <w:p w14:paraId="7C49A237" w14:textId="77777777" w:rsidR="000031E1" w:rsidRDefault="00000000">
      <w:r>
        <w:rPr>
          <w:i/>
          <w:color w:val="C5A059"/>
          <w:sz w:val="26"/>
        </w:rPr>
        <w:t>Rapport Technique de Réalisation et Spécifications — Ministère de l'Économie et des Finances</w:t>
      </w:r>
    </w:p>
    <w:p w14:paraId="2FE10587" w14:textId="77777777" w:rsidR="000031E1" w:rsidRDefault="000031E1">
      <w:pPr>
        <w:spacing w:after="160"/>
      </w:pPr>
    </w:p>
    <w:p w14:paraId="669DD519" w14:textId="77777777" w:rsidR="000031E1" w:rsidRDefault="00000000">
      <w:r>
        <w:rPr>
          <w:b/>
          <w:color w:val="0A1E3F"/>
          <w:sz w:val="28"/>
        </w:rPr>
        <w:t>1. Introduction et Objectifs du Sprint 5</w:t>
      </w:r>
    </w:p>
    <w:p w14:paraId="5004FDBE" w14:textId="34F22C8D" w:rsidR="000031E1" w:rsidRDefault="00000000" w:rsidP="00733FA8">
      <w:r>
        <w:t>Le présent document constitue le rapport de réalisation complet du cinquième et dernier sprint du projet Park Auto MEF (période du 10/08/2026 au 14/08/2026). Ce sprint achève la totalité du périmètre fonctionnel du Cahier des Charges du Ministère de l'Économie et des Finances (MEF)</w:t>
      </w:r>
      <w:r w:rsidR="00733FA8">
        <w:t>.</w:t>
      </w:r>
    </w:p>
    <w:p w14:paraId="6A873DCF" w14:textId="77777777" w:rsidR="000031E1" w:rsidRDefault="00000000">
      <w:r>
        <w:t xml:space="preserve">Les objectifs majeurs achevés au cours du Sprint 5 </w:t>
      </w:r>
      <w:proofErr w:type="gramStart"/>
      <w:r>
        <w:t>comprennent :</w:t>
      </w:r>
      <w:proofErr w:type="gramEnd"/>
    </w:p>
    <w:p w14:paraId="615B1B98" w14:textId="77777777" w:rsidR="000031E1" w:rsidRDefault="00000000">
      <w:pPr>
        <w:pStyle w:val="ListBullet"/>
      </w:pPr>
      <w:r w:rsidRPr="00733FA8">
        <w:rPr>
          <w:b/>
          <w:bCs/>
          <w:i/>
          <w:iCs/>
          <w:color w:val="365F91" w:themeColor="accent1" w:themeShade="BF"/>
        </w:rPr>
        <w:t xml:space="preserve">1. Gestion des Assurances &amp; Polices </w:t>
      </w:r>
      <w:proofErr w:type="gramStart"/>
      <w:r w:rsidRPr="00733FA8">
        <w:rPr>
          <w:b/>
          <w:bCs/>
          <w:i/>
          <w:iCs/>
          <w:color w:val="365F91" w:themeColor="accent1" w:themeShade="BF"/>
        </w:rPr>
        <w:t>Flotte :</w:t>
      </w:r>
      <w:proofErr w:type="gramEnd"/>
      <w:r w:rsidRPr="00733FA8">
        <w:rPr>
          <w:color w:val="365F91" w:themeColor="accent1" w:themeShade="BF"/>
        </w:rPr>
        <w:t xml:space="preserve"> </w:t>
      </w:r>
      <w:r>
        <w:t>Répertoire des contrats (AXA, RMA, Wafa), garanties, primes, franchises et alertes automatiques J-30 avant expiration.</w:t>
      </w:r>
    </w:p>
    <w:p w14:paraId="7F3E778C" w14:textId="77777777" w:rsidR="000031E1" w:rsidRDefault="00000000">
      <w:pPr>
        <w:pStyle w:val="ListBullet"/>
      </w:pPr>
      <w:r w:rsidRPr="00733FA8">
        <w:rPr>
          <w:b/>
          <w:bCs/>
          <w:i/>
          <w:iCs/>
          <w:color w:val="365F91" w:themeColor="accent1" w:themeShade="BF"/>
        </w:rPr>
        <w:t xml:space="preserve">2. Déclaration et Suivi des </w:t>
      </w:r>
      <w:proofErr w:type="gramStart"/>
      <w:r w:rsidRPr="00733FA8">
        <w:rPr>
          <w:b/>
          <w:bCs/>
          <w:i/>
          <w:iCs/>
          <w:color w:val="365F91" w:themeColor="accent1" w:themeShade="BF"/>
        </w:rPr>
        <w:t>Sinistres :</w:t>
      </w:r>
      <w:proofErr w:type="gramEnd"/>
      <w:r w:rsidRPr="00733FA8">
        <w:rPr>
          <w:color w:val="365F91" w:themeColor="accent1" w:themeShade="BF"/>
        </w:rPr>
        <w:t xml:space="preserve"> </w:t>
      </w:r>
      <w:r>
        <w:t>Workflow d'enregistrement des accidents, constats, expertises, indemnisations et bascule automatique du véhicule au statut ACCIDENTE.</w:t>
      </w:r>
    </w:p>
    <w:p w14:paraId="1A7D3431" w14:textId="77777777" w:rsidR="000031E1" w:rsidRDefault="00000000">
      <w:pPr>
        <w:pStyle w:val="ListBullet"/>
      </w:pPr>
      <w:r w:rsidRPr="00733FA8">
        <w:rPr>
          <w:b/>
          <w:bCs/>
          <w:i/>
          <w:iCs/>
          <w:color w:val="365F91" w:themeColor="accent1" w:themeShade="BF"/>
        </w:rPr>
        <w:t xml:space="preserve">3. Gestion des Infractions et </w:t>
      </w:r>
      <w:proofErr w:type="gramStart"/>
      <w:r w:rsidRPr="00733FA8">
        <w:rPr>
          <w:b/>
          <w:bCs/>
          <w:i/>
          <w:iCs/>
          <w:color w:val="365F91" w:themeColor="accent1" w:themeShade="BF"/>
        </w:rPr>
        <w:t>Contraventions :</w:t>
      </w:r>
      <w:proofErr w:type="gramEnd"/>
      <w:r w:rsidRPr="00733FA8">
        <w:rPr>
          <w:color w:val="365F91" w:themeColor="accent1" w:themeShade="BF"/>
        </w:rPr>
        <w:t xml:space="preserve"> </w:t>
      </w:r>
      <w:r>
        <w:t>Enregistrement des PV radar/amendes attribués aux véhicules et aux conducteurs lors de leurs ordres de mission.</w:t>
      </w:r>
    </w:p>
    <w:p w14:paraId="5047F8DE" w14:textId="77777777" w:rsidR="000031E1" w:rsidRDefault="00000000">
      <w:pPr>
        <w:pStyle w:val="ListBullet"/>
      </w:pPr>
      <w:r w:rsidRPr="00733FA8">
        <w:rPr>
          <w:b/>
          <w:bCs/>
          <w:i/>
          <w:iCs/>
          <w:color w:val="365F91" w:themeColor="accent1" w:themeShade="BF"/>
        </w:rPr>
        <w:t xml:space="preserve">4. Visites Techniques &amp; Taxes </w:t>
      </w:r>
      <w:proofErr w:type="gramStart"/>
      <w:r w:rsidRPr="00733FA8">
        <w:rPr>
          <w:b/>
          <w:bCs/>
          <w:i/>
          <w:iCs/>
          <w:color w:val="365F91" w:themeColor="accent1" w:themeShade="BF"/>
        </w:rPr>
        <w:t>Automobiles :</w:t>
      </w:r>
      <w:proofErr w:type="gramEnd"/>
      <w:r w:rsidRPr="00733FA8">
        <w:rPr>
          <w:color w:val="365F91" w:themeColor="accent1" w:themeShade="BF"/>
        </w:rPr>
        <w:t xml:space="preserve"> </w:t>
      </w:r>
      <w:r>
        <w:t>Contrôles réglementaires, gestion des contre-visites sous 15 jours, suivi des vignettes et taxes de circulation.</w:t>
      </w:r>
    </w:p>
    <w:p w14:paraId="742337E9" w14:textId="77777777" w:rsidR="000031E1" w:rsidRDefault="00000000">
      <w:pPr>
        <w:pStyle w:val="ListBullet"/>
      </w:pPr>
      <w:r w:rsidRPr="00733FA8">
        <w:rPr>
          <w:b/>
          <w:bCs/>
          <w:i/>
          <w:iCs/>
          <w:color w:val="365F91" w:themeColor="accent1" w:themeShade="BF"/>
        </w:rPr>
        <w:t xml:space="preserve">5. Procédure de Réforme &amp; Sortie </w:t>
      </w:r>
      <w:proofErr w:type="gramStart"/>
      <w:r w:rsidRPr="00733FA8">
        <w:rPr>
          <w:b/>
          <w:bCs/>
          <w:i/>
          <w:iCs/>
          <w:color w:val="365F91" w:themeColor="accent1" w:themeShade="BF"/>
        </w:rPr>
        <w:t>d'Inventaire :</w:t>
      </w:r>
      <w:proofErr w:type="gramEnd"/>
      <w:r w:rsidRPr="00733FA8">
        <w:rPr>
          <w:color w:val="365F91" w:themeColor="accent1" w:themeShade="BF"/>
        </w:rPr>
        <w:t xml:space="preserve"> </w:t>
      </w:r>
      <w:r>
        <w:t>Workflow de déclassement des véhicules vétustes (EN_COURS_DE_REFORME, REFORME, VENDU) avec attachement du PV de Commission de Réforme.</w:t>
      </w:r>
    </w:p>
    <w:p w14:paraId="0624C8A1" w14:textId="77777777" w:rsidR="000031E1" w:rsidRDefault="00000000">
      <w:pPr>
        <w:pStyle w:val="ListBullet"/>
      </w:pPr>
      <w:r w:rsidRPr="00733FA8">
        <w:rPr>
          <w:b/>
          <w:bCs/>
          <w:i/>
          <w:iCs/>
          <w:color w:val="365F91" w:themeColor="accent1" w:themeShade="BF"/>
        </w:rPr>
        <w:t xml:space="preserve">6. Suivi Budgétaire Analytique &amp; Prévisions </w:t>
      </w:r>
      <w:proofErr w:type="gramStart"/>
      <w:r w:rsidRPr="00733FA8">
        <w:rPr>
          <w:b/>
          <w:bCs/>
          <w:i/>
          <w:iCs/>
          <w:color w:val="365F91" w:themeColor="accent1" w:themeShade="BF"/>
        </w:rPr>
        <w:t>Carburant :</w:t>
      </w:r>
      <w:proofErr w:type="gramEnd"/>
      <w:r w:rsidRPr="00733FA8">
        <w:rPr>
          <w:color w:val="365F91" w:themeColor="accent1" w:themeShade="BF"/>
        </w:rPr>
        <w:t xml:space="preserve"> </w:t>
      </w:r>
      <w:r>
        <w:t>Allocation par Direction MEF (Prévu vs Engagé vs Réalisé) et calcul automatique des besoins futurs en carburant.</w:t>
      </w:r>
    </w:p>
    <w:p w14:paraId="4C317A04" w14:textId="77777777" w:rsidR="000031E1" w:rsidRDefault="00000000">
      <w:pPr>
        <w:pStyle w:val="ListBullet"/>
      </w:pPr>
      <w:r w:rsidRPr="00733FA8">
        <w:rPr>
          <w:b/>
          <w:bCs/>
          <w:i/>
          <w:iCs/>
          <w:color w:val="365F91" w:themeColor="accent1" w:themeShade="BF"/>
        </w:rPr>
        <w:t xml:space="preserve">7. Administration RBAC, Notifications Email &amp; GED </w:t>
      </w:r>
      <w:proofErr w:type="gramStart"/>
      <w:r w:rsidRPr="00733FA8">
        <w:rPr>
          <w:b/>
          <w:bCs/>
          <w:i/>
          <w:iCs/>
          <w:color w:val="365F91" w:themeColor="accent1" w:themeShade="BF"/>
        </w:rPr>
        <w:t>Sécurisée :</w:t>
      </w:r>
      <w:proofErr w:type="gramEnd"/>
      <w:r w:rsidRPr="00733FA8">
        <w:rPr>
          <w:color w:val="365F91" w:themeColor="accent1" w:themeShade="BF"/>
        </w:rPr>
        <w:t xml:space="preserve"> </w:t>
      </w:r>
      <w:r>
        <w:t>Moteur SMTP JavaMailSender, audit logs immutables et stockage sécurisé des documents justificatifs.</w:t>
      </w:r>
    </w:p>
    <w:p w14:paraId="2122C7C4" w14:textId="77777777" w:rsidR="000031E1" w:rsidRDefault="000031E1">
      <w:pPr>
        <w:spacing w:after="160"/>
      </w:pPr>
    </w:p>
    <w:p w14:paraId="4E567BA6" w14:textId="77777777" w:rsidR="000031E1" w:rsidRDefault="00000000">
      <w:r>
        <w:rPr>
          <w:b/>
          <w:color w:val="0A1E3F"/>
          <w:sz w:val="28"/>
        </w:rPr>
        <w:t>2. Analyse Fonctionnelle du Sprint 5</w:t>
      </w:r>
    </w:p>
    <w:p w14:paraId="66D27A26" w14:textId="77777777" w:rsidR="000031E1" w:rsidRDefault="00000000">
      <w:r>
        <w:rPr>
          <w:b/>
          <w:color w:val="0A1E3F"/>
          <w:sz w:val="24"/>
        </w:rPr>
        <w:t>2.1. Besoins Fonctionnels Spécifiés</w:t>
      </w:r>
    </w:p>
    <w:p w14:paraId="33A504C2" w14:textId="77777777" w:rsidR="000031E1" w:rsidRDefault="00000000">
      <w:pPr>
        <w:pStyle w:val="ListBullet"/>
      </w:pPr>
      <w:r w:rsidRPr="00733FA8">
        <w:rPr>
          <w:b/>
          <w:bCs/>
        </w:rPr>
        <w:t>Assurances &amp; Sinistres (Module 9 CdC</w:t>
      </w:r>
      <w:proofErr w:type="gramStart"/>
      <w:r w:rsidRPr="00733FA8">
        <w:rPr>
          <w:b/>
          <w:bCs/>
        </w:rPr>
        <w:t>) :</w:t>
      </w:r>
      <w:proofErr w:type="gramEnd"/>
      <w:r>
        <w:t xml:space="preserve"> Gestion des polices d'assurance, déclaration des sinistres et gestion des indemnisations.</w:t>
      </w:r>
    </w:p>
    <w:p w14:paraId="5CB4511B" w14:textId="77777777" w:rsidR="000031E1" w:rsidRDefault="00000000">
      <w:pPr>
        <w:pStyle w:val="ListBullet"/>
      </w:pPr>
      <w:r w:rsidRPr="00733FA8">
        <w:rPr>
          <w:b/>
          <w:bCs/>
        </w:rPr>
        <w:t>Infractions Routières (Module 4 &amp; 9 CdC</w:t>
      </w:r>
      <w:proofErr w:type="gramStart"/>
      <w:r w:rsidRPr="00733FA8">
        <w:rPr>
          <w:b/>
          <w:bCs/>
        </w:rPr>
        <w:t>) :</w:t>
      </w:r>
      <w:proofErr w:type="gramEnd"/>
      <w:r>
        <w:t xml:space="preserve"> Registre des contraventions routières rattachées au conducteur et au véhicule.</w:t>
      </w:r>
    </w:p>
    <w:p w14:paraId="0C984F5B" w14:textId="77777777" w:rsidR="000031E1" w:rsidRDefault="00000000">
      <w:pPr>
        <w:pStyle w:val="ListBullet"/>
      </w:pPr>
      <w:r w:rsidRPr="00733FA8">
        <w:rPr>
          <w:b/>
          <w:bCs/>
        </w:rPr>
        <w:t>Visites &amp; Taxes (Module 7 &amp; 8 CdC</w:t>
      </w:r>
      <w:proofErr w:type="gramStart"/>
      <w:r w:rsidRPr="00733FA8">
        <w:rPr>
          <w:b/>
          <w:bCs/>
        </w:rPr>
        <w:t>) :</w:t>
      </w:r>
      <w:proofErr w:type="gramEnd"/>
      <w:r>
        <w:t xml:space="preserve"> Suivi des contrôles techniques et des vignettes avec déclenchement des ordres de révision.</w:t>
      </w:r>
    </w:p>
    <w:p w14:paraId="4A2901AB" w14:textId="77777777" w:rsidR="000031E1" w:rsidRDefault="00000000">
      <w:pPr>
        <w:pStyle w:val="ListBullet"/>
      </w:pPr>
      <w:r w:rsidRPr="00733FA8">
        <w:rPr>
          <w:b/>
          <w:bCs/>
        </w:rPr>
        <w:lastRenderedPageBreak/>
        <w:t>Réforme des Véhicules (Module 6.4 CdC</w:t>
      </w:r>
      <w:proofErr w:type="gramStart"/>
      <w:r w:rsidRPr="00733FA8">
        <w:rPr>
          <w:b/>
          <w:bCs/>
        </w:rPr>
        <w:t>) :</w:t>
      </w:r>
      <w:proofErr w:type="gramEnd"/>
      <w:r>
        <w:t xml:space="preserve"> Processus administratif de réforme et sortie formelle de l'inventaire du MEF.</w:t>
      </w:r>
    </w:p>
    <w:p w14:paraId="2231CC06" w14:textId="77777777" w:rsidR="000031E1" w:rsidRDefault="00000000">
      <w:pPr>
        <w:pStyle w:val="ListBullet"/>
      </w:pPr>
      <w:r w:rsidRPr="00733FA8">
        <w:rPr>
          <w:b/>
          <w:bCs/>
        </w:rPr>
        <w:t>Budget Analytique &amp; Prévisions (Module 10 CdC</w:t>
      </w:r>
      <w:proofErr w:type="gramStart"/>
      <w:r w:rsidRPr="00733FA8">
        <w:rPr>
          <w:b/>
          <w:bCs/>
        </w:rPr>
        <w:t>) :</w:t>
      </w:r>
      <w:proofErr w:type="gramEnd"/>
      <w:r>
        <w:t xml:space="preserve"> Tableau de suivi des crédits par Direction et projection du besoin carburant.</w:t>
      </w:r>
    </w:p>
    <w:p w14:paraId="6B6CBFEB" w14:textId="77777777" w:rsidR="000031E1" w:rsidRDefault="00000000">
      <w:pPr>
        <w:pStyle w:val="ListBullet"/>
      </w:pPr>
      <w:r w:rsidRPr="00733FA8">
        <w:rPr>
          <w:b/>
          <w:bCs/>
        </w:rPr>
        <w:t>Sécurité, Audit &amp; Email (Module 2 &amp; 21 CdC</w:t>
      </w:r>
      <w:proofErr w:type="gramStart"/>
      <w:r w:rsidRPr="00733FA8">
        <w:rPr>
          <w:b/>
          <w:bCs/>
        </w:rPr>
        <w:t>) :</w:t>
      </w:r>
      <w:proofErr w:type="gramEnd"/>
      <w:r>
        <w:t xml:space="preserve"> Traçabilité immutable des actions et alertes par courriel SMTP.</w:t>
      </w:r>
    </w:p>
    <w:p w14:paraId="460B8DFC" w14:textId="77777777" w:rsidR="000031E1" w:rsidRDefault="00000000">
      <w:r>
        <w:rPr>
          <w:b/>
          <w:color w:val="0A1E3F"/>
          <w:sz w:val="24"/>
        </w:rPr>
        <w:t>2.2. Règles de Gestion Métier Strictes</w:t>
      </w:r>
    </w:p>
    <w:p w14:paraId="4452E0E0" w14:textId="77777777" w:rsidR="000031E1" w:rsidRDefault="00000000">
      <w:pPr>
        <w:pStyle w:val="ListBullet"/>
      </w:pPr>
      <w:r w:rsidRPr="00733FA8">
        <w:rPr>
          <w:b/>
          <w:bCs/>
          <w:color w:val="365F91" w:themeColor="accent1" w:themeShade="BF"/>
        </w:rPr>
        <w:t>RG01</w:t>
      </w:r>
      <w:r w:rsidRPr="00733FA8">
        <w:rPr>
          <w:color w:val="365F91" w:themeColor="accent1" w:themeShade="BF"/>
        </w:rPr>
        <w:t xml:space="preserve"> </w:t>
      </w:r>
      <w:r>
        <w:t xml:space="preserve">— Bascule Automatique lors d'un </w:t>
      </w:r>
      <w:proofErr w:type="gramStart"/>
      <w:r>
        <w:t>Sinistre :</w:t>
      </w:r>
      <w:proofErr w:type="gramEnd"/>
      <w:r>
        <w:t xml:space="preserve"> Une déclaration de sinistre ou l'initiation d'une réforme bascule immédiatement le véhicule aux statuts ACCIDENTE, EN_REPARATION ou EN_COURS_DE_REFORME.</w:t>
      </w:r>
    </w:p>
    <w:p w14:paraId="3A89D388" w14:textId="77777777" w:rsidR="000031E1" w:rsidRDefault="00000000">
      <w:pPr>
        <w:pStyle w:val="ListBullet"/>
      </w:pPr>
      <w:r w:rsidRPr="00733FA8">
        <w:rPr>
          <w:b/>
          <w:bCs/>
          <w:color w:val="365F91" w:themeColor="accent1" w:themeShade="BF"/>
        </w:rPr>
        <w:t>RG02</w:t>
      </w:r>
      <w:r w:rsidRPr="00733FA8">
        <w:rPr>
          <w:color w:val="365F91" w:themeColor="accent1" w:themeShade="BF"/>
        </w:rPr>
        <w:t xml:space="preserve"> </w:t>
      </w:r>
      <w:r>
        <w:t xml:space="preserve">— Contrôle d'Assurance à </w:t>
      </w:r>
      <w:proofErr w:type="gramStart"/>
      <w:r>
        <w:t>l'Affectation :</w:t>
      </w:r>
      <w:proofErr w:type="gramEnd"/>
      <w:r>
        <w:t xml:space="preserve"> Tout véhicule sans contrat d'assurance actif ou avec une police expirante sous J-30 fait l'objet d'un blocage à l'affectation et d'une alerte email SMTP.</w:t>
      </w:r>
    </w:p>
    <w:p w14:paraId="5484E04C" w14:textId="77777777" w:rsidR="000031E1" w:rsidRDefault="00000000">
      <w:pPr>
        <w:pStyle w:val="ListBullet"/>
      </w:pPr>
      <w:r w:rsidRPr="00733FA8">
        <w:rPr>
          <w:b/>
          <w:bCs/>
          <w:color w:val="365F91" w:themeColor="accent1" w:themeShade="BF"/>
        </w:rPr>
        <w:t>RG03</w:t>
      </w:r>
      <w:r w:rsidRPr="00733FA8">
        <w:rPr>
          <w:color w:val="365F91" w:themeColor="accent1" w:themeShade="BF"/>
        </w:rPr>
        <w:t xml:space="preserve"> </w:t>
      </w:r>
      <w:r>
        <w:t>— Ordre de Réparation sur Contre-</w:t>
      </w:r>
      <w:proofErr w:type="gramStart"/>
      <w:r>
        <w:t>Visite :</w:t>
      </w:r>
      <w:proofErr w:type="gramEnd"/>
      <w:r>
        <w:t xml:space="preserve"> Un résultat de visite technique CONTRE_VISITE_OBLIGATOIRE génère automatiquement un ordre d'intervention sous 15 jours.</w:t>
      </w:r>
    </w:p>
    <w:p w14:paraId="089D9FED" w14:textId="77777777" w:rsidR="000031E1" w:rsidRDefault="00000000">
      <w:pPr>
        <w:pStyle w:val="ListBullet"/>
      </w:pPr>
      <w:r w:rsidRPr="00733FA8">
        <w:rPr>
          <w:b/>
          <w:bCs/>
          <w:color w:val="365F91" w:themeColor="accent1" w:themeShade="BF"/>
        </w:rPr>
        <w:t>RG04</w:t>
      </w:r>
      <w:r w:rsidRPr="00733FA8">
        <w:rPr>
          <w:color w:val="365F91" w:themeColor="accent1" w:themeShade="BF"/>
        </w:rPr>
        <w:t xml:space="preserve"> </w:t>
      </w:r>
      <w:r>
        <w:t xml:space="preserve">— PV de Commission Obligatoire pour la </w:t>
      </w:r>
      <w:proofErr w:type="gramStart"/>
      <w:r>
        <w:t>Réforme :</w:t>
      </w:r>
      <w:proofErr w:type="gramEnd"/>
      <w:r>
        <w:t xml:space="preserve"> La validation finale de la réforme exige impérativement le téléversement du Procès-Verbal de la Commission de Réforme.</w:t>
      </w:r>
    </w:p>
    <w:p w14:paraId="220CF22F" w14:textId="77777777" w:rsidR="000031E1" w:rsidRDefault="00000000">
      <w:pPr>
        <w:pStyle w:val="ListBullet"/>
      </w:pPr>
      <w:r w:rsidRPr="00733FA8">
        <w:rPr>
          <w:b/>
          <w:bCs/>
          <w:color w:val="365F91" w:themeColor="accent1" w:themeShade="BF"/>
        </w:rPr>
        <w:t>RG05</w:t>
      </w:r>
      <w:r w:rsidRPr="00733FA8">
        <w:rPr>
          <w:color w:val="365F91" w:themeColor="accent1" w:themeShade="BF"/>
        </w:rPr>
        <w:t xml:space="preserve"> </w:t>
      </w:r>
      <w:r>
        <w:t>— Journalisation Immutable (AuditLog</w:t>
      </w:r>
      <w:proofErr w:type="gramStart"/>
      <w:r>
        <w:t>) :</w:t>
      </w:r>
      <w:proofErr w:type="gramEnd"/>
      <w:r>
        <w:t xml:space="preserve"> Toute modification administrative ou budgétaire fait l'objet d'un enregistrement non modifiable (AuditLog) traçant l'auteur, l'adresse IP et l'horodatage.</w:t>
      </w:r>
    </w:p>
    <w:p w14:paraId="65B3B98F" w14:textId="77777777" w:rsidR="000031E1" w:rsidRDefault="00000000">
      <w:r>
        <w:rPr>
          <w:b/>
          <w:color w:val="0A1E3F"/>
          <w:sz w:val="24"/>
        </w:rPr>
        <w:t>2.3. Diagramme de Cas d'Utilisation UML (Sprint 5)</w:t>
      </w:r>
    </w:p>
    <w:p w14:paraId="3AE27D8A" w14:textId="77777777" w:rsidR="000031E1" w:rsidRDefault="00000000">
      <w:pPr>
        <w:jc w:val="center"/>
      </w:pPr>
      <w:r>
        <w:rPr>
          <w:noProof/>
        </w:rPr>
        <w:drawing>
          <wp:inline distT="0" distB="0" distL="0" distR="0" wp14:anchorId="0A9DA9DC" wp14:editId="10B4AE48">
            <wp:extent cx="497205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972050" cy="3314700"/>
                    </a:xfrm>
                    <a:prstGeom prst="rect">
                      <a:avLst/>
                    </a:prstGeom>
                  </pic:spPr>
                </pic:pic>
              </a:graphicData>
            </a:graphic>
          </wp:inline>
        </w:drawing>
      </w:r>
    </w:p>
    <w:p w14:paraId="1DF6E1C4" w14:textId="77777777" w:rsidR="000031E1" w:rsidRDefault="00000000">
      <w:pPr>
        <w:jc w:val="center"/>
      </w:pPr>
      <w:r>
        <w:rPr>
          <w:i/>
          <w:sz w:val="19"/>
        </w:rPr>
        <w:lastRenderedPageBreak/>
        <w:t>Figure 27 : Diagramme de cas d'utilisation UML (Sprint 5 — Assurances, Budget, Réforme &amp; Sécurité)</w:t>
      </w:r>
    </w:p>
    <w:p w14:paraId="233FCC62" w14:textId="77777777" w:rsidR="000031E1" w:rsidRDefault="000031E1">
      <w:pPr>
        <w:spacing w:after="160"/>
      </w:pPr>
    </w:p>
    <w:p w14:paraId="61909D92" w14:textId="77777777" w:rsidR="000031E1" w:rsidRDefault="00000000">
      <w:r>
        <w:rPr>
          <w:b/>
          <w:color w:val="0A1E3F"/>
          <w:sz w:val="28"/>
        </w:rPr>
        <w:t>3. Conception et Modélisation Technique</w:t>
      </w:r>
    </w:p>
    <w:p w14:paraId="03F9DF4E" w14:textId="77777777" w:rsidR="000031E1" w:rsidRDefault="00000000">
      <w:r>
        <w:rPr>
          <w:b/>
          <w:color w:val="0A1E3F"/>
          <w:sz w:val="24"/>
        </w:rPr>
        <w:t>3.1. Modélisation Statique (Diagramme de Classes UML)</w:t>
      </w:r>
    </w:p>
    <w:p w14:paraId="23F87114" w14:textId="77777777" w:rsidR="000031E1" w:rsidRDefault="00000000">
      <w:pPr>
        <w:jc w:val="center"/>
      </w:pPr>
      <w:r>
        <w:rPr>
          <w:noProof/>
        </w:rPr>
        <w:drawing>
          <wp:inline distT="0" distB="0" distL="0" distR="0" wp14:anchorId="15B7DE50" wp14:editId="39543F0E">
            <wp:extent cx="5301396" cy="3319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a:srcRect t="4040" b="2040"/>
                    <a:stretch>
                      <a:fillRect/>
                    </a:stretch>
                  </pic:blipFill>
                  <pic:spPr bwMode="auto">
                    <a:xfrm>
                      <a:off x="0" y="0"/>
                      <a:ext cx="5303520" cy="3320655"/>
                    </a:xfrm>
                    <a:prstGeom prst="rect">
                      <a:avLst/>
                    </a:prstGeom>
                    <a:ln>
                      <a:noFill/>
                    </a:ln>
                    <a:extLst>
                      <a:ext uri="{53640926-AAD7-44D8-BBD7-CCE9431645EC}">
                        <a14:shadowObscured xmlns:a14="http://schemas.microsoft.com/office/drawing/2010/main"/>
                      </a:ext>
                    </a:extLst>
                  </pic:spPr>
                </pic:pic>
              </a:graphicData>
            </a:graphic>
          </wp:inline>
        </w:drawing>
      </w:r>
    </w:p>
    <w:p w14:paraId="0D16D985" w14:textId="77777777" w:rsidR="000031E1" w:rsidRDefault="00000000">
      <w:pPr>
        <w:jc w:val="center"/>
      </w:pPr>
      <w:r>
        <w:rPr>
          <w:i/>
          <w:sz w:val="19"/>
        </w:rPr>
        <w:t>Figure 28 : Diagramme de classes UML (Sprint 5 — Assurances, Sinistres, Budget &amp; GED)</w:t>
      </w:r>
    </w:p>
    <w:p w14:paraId="40A38135" w14:textId="77777777" w:rsidR="000031E1" w:rsidRDefault="00000000">
      <w:r>
        <w:rPr>
          <w:b/>
          <w:color w:val="0A1E3F"/>
          <w:sz w:val="24"/>
        </w:rPr>
        <w:t>3.2. Modélisation Dynamique (Diagramme de Séquence UML)</w:t>
      </w:r>
    </w:p>
    <w:p w14:paraId="5BA0A971" w14:textId="77777777" w:rsidR="000031E1" w:rsidRDefault="00000000">
      <w:pPr>
        <w:jc w:val="center"/>
      </w:pPr>
      <w:r>
        <w:rPr>
          <w:noProof/>
        </w:rPr>
        <w:lastRenderedPageBreak/>
        <w:drawing>
          <wp:inline distT="0" distB="0" distL="0" distR="0" wp14:anchorId="0F5F5110" wp14:editId="16EADBAB">
            <wp:extent cx="5289598" cy="313345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a:srcRect l="218" t="2794" r="-17" b="8527"/>
                    <a:stretch>
                      <a:fillRect/>
                    </a:stretch>
                  </pic:blipFill>
                  <pic:spPr bwMode="auto">
                    <a:xfrm>
                      <a:off x="0" y="0"/>
                      <a:ext cx="5292908" cy="3135416"/>
                    </a:xfrm>
                    <a:prstGeom prst="rect">
                      <a:avLst/>
                    </a:prstGeom>
                    <a:ln>
                      <a:noFill/>
                    </a:ln>
                    <a:extLst>
                      <a:ext uri="{53640926-AAD7-44D8-BBD7-CCE9431645EC}">
                        <a14:shadowObscured xmlns:a14="http://schemas.microsoft.com/office/drawing/2010/main"/>
                      </a:ext>
                    </a:extLst>
                  </pic:spPr>
                </pic:pic>
              </a:graphicData>
            </a:graphic>
          </wp:inline>
        </w:drawing>
      </w:r>
    </w:p>
    <w:p w14:paraId="3D913010" w14:textId="77777777" w:rsidR="000031E1" w:rsidRDefault="00000000">
      <w:pPr>
        <w:jc w:val="center"/>
      </w:pPr>
      <w:r>
        <w:rPr>
          <w:i/>
          <w:sz w:val="19"/>
        </w:rPr>
        <w:t>Figure 29 : Diagramme de séquence UML — Déclaration Sinistre, Bascule Statut &amp; Notification Email</w:t>
      </w:r>
    </w:p>
    <w:p w14:paraId="05EDB1C1" w14:textId="77777777" w:rsidR="000031E1" w:rsidRDefault="000031E1">
      <w:pPr>
        <w:spacing w:after="160"/>
      </w:pPr>
    </w:p>
    <w:p w14:paraId="0AC8E7B9" w14:textId="77777777" w:rsidR="000031E1" w:rsidRDefault="00000000">
      <w:r>
        <w:rPr>
          <w:b/>
          <w:color w:val="0A1E3F"/>
          <w:sz w:val="28"/>
        </w:rPr>
        <w:t>4. Démonstration Visuelle de l'Interface Web (Captures à Insérer)</w:t>
      </w:r>
    </w:p>
    <w:p w14:paraId="209DA164" w14:textId="7046DE8B" w:rsidR="001F6E88" w:rsidRDefault="00000000" w:rsidP="001F6E88">
      <w:pPr>
        <w:jc w:val="center"/>
        <w:rPr>
          <w:noProof/>
        </w:rPr>
      </w:pPr>
      <w:r>
        <w:rPr>
          <w:b/>
          <w:color w:val="0A1E3F"/>
          <w:sz w:val="21"/>
        </w:rPr>
        <w:t xml:space="preserve">Figure </w:t>
      </w:r>
      <w:proofErr w:type="gramStart"/>
      <w:r>
        <w:rPr>
          <w:b/>
          <w:color w:val="0A1E3F"/>
          <w:sz w:val="21"/>
        </w:rPr>
        <w:t>5.1 :</w:t>
      </w:r>
      <w:proofErr w:type="gramEnd"/>
      <w:r>
        <w:rPr>
          <w:b/>
          <w:color w:val="0A1E3F"/>
          <w:sz w:val="21"/>
        </w:rPr>
        <w:t xml:space="preserve"> Module de Gestion des Assurances, </w:t>
      </w:r>
      <w:proofErr w:type="spellStart"/>
      <w:r>
        <w:rPr>
          <w:b/>
          <w:color w:val="0A1E3F"/>
          <w:sz w:val="21"/>
        </w:rPr>
        <w:t>Sinistres</w:t>
      </w:r>
      <w:proofErr w:type="spellEnd"/>
      <w:r>
        <w:rPr>
          <w:b/>
          <w:color w:val="0A1E3F"/>
          <w:sz w:val="21"/>
        </w:rPr>
        <w:t xml:space="preserve"> &amp; </w:t>
      </w:r>
      <w:proofErr w:type="gramStart"/>
      <w:r>
        <w:rPr>
          <w:b/>
          <w:color w:val="0A1E3F"/>
          <w:sz w:val="21"/>
        </w:rPr>
        <w:t>Infractions (/</w:t>
      </w:r>
      <w:proofErr w:type="gramEnd"/>
      <w:r>
        <w:rPr>
          <w:b/>
          <w:color w:val="0A1E3F"/>
          <w:sz w:val="21"/>
        </w:rPr>
        <w:t>assurances)</w:t>
      </w:r>
      <w:r>
        <w:rPr>
          <w:b/>
          <w:color w:val="0A1E3F"/>
          <w:sz w:val="21"/>
        </w:rPr>
        <w:br/>
      </w:r>
      <w:r w:rsidR="001F6E88">
        <w:rPr>
          <w:noProof/>
        </w:rPr>
        <w:drawing>
          <wp:inline distT="0" distB="0" distL="0" distR="0" wp14:anchorId="4DAEC59D" wp14:editId="7CD41C19">
            <wp:extent cx="4537276" cy="2490169"/>
            <wp:effectExtent l="0" t="0" r="0" b="5715"/>
            <wp:docPr id="48036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63099" name=""/>
                    <pic:cNvPicPr/>
                  </pic:nvPicPr>
                  <pic:blipFill>
                    <a:blip r:embed="rId11"/>
                    <a:stretch>
                      <a:fillRect/>
                    </a:stretch>
                  </pic:blipFill>
                  <pic:spPr>
                    <a:xfrm>
                      <a:off x="0" y="0"/>
                      <a:ext cx="4570639" cy="2508479"/>
                    </a:xfrm>
                    <a:prstGeom prst="rect">
                      <a:avLst/>
                    </a:prstGeom>
                  </pic:spPr>
                </pic:pic>
              </a:graphicData>
            </a:graphic>
          </wp:inline>
        </w:drawing>
      </w:r>
    </w:p>
    <w:p w14:paraId="586E56EF" w14:textId="21CF07A7" w:rsidR="000031E1" w:rsidRDefault="001F6E88" w:rsidP="001F6E88">
      <w:pPr>
        <w:jc w:val="center"/>
        <w:rPr>
          <w:noProof/>
        </w:rPr>
      </w:pPr>
      <w:r>
        <w:rPr>
          <w:noProof/>
        </w:rPr>
        <w:lastRenderedPageBreak/>
        <w:drawing>
          <wp:inline distT="0" distB="0" distL="0" distR="0" wp14:anchorId="6252608B" wp14:editId="550146C2">
            <wp:extent cx="5063490" cy="2390172"/>
            <wp:effectExtent l="0" t="0" r="3810" b="0"/>
            <wp:docPr id="131844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40739" name=""/>
                    <pic:cNvPicPr/>
                  </pic:nvPicPr>
                  <pic:blipFill>
                    <a:blip r:embed="rId12"/>
                    <a:stretch>
                      <a:fillRect/>
                    </a:stretch>
                  </pic:blipFill>
                  <pic:spPr>
                    <a:xfrm>
                      <a:off x="0" y="0"/>
                      <a:ext cx="5097909" cy="2406419"/>
                    </a:xfrm>
                    <a:prstGeom prst="rect">
                      <a:avLst/>
                    </a:prstGeom>
                  </pic:spPr>
                </pic:pic>
              </a:graphicData>
            </a:graphic>
          </wp:inline>
        </w:drawing>
      </w:r>
      <w:r>
        <w:rPr>
          <w:noProof/>
        </w:rPr>
        <w:drawing>
          <wp:inline distT="0" distB="0" distL="0" distR="0" wp14:anchorId="66291C3D" wp14:editId="69F171F6">
            <wp:extent cx="5005198" cy="2436471"/>
            <wp:effectExtent l="0" t="0" r="5080" b="2540"/>
            <wp:docPr id="100756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61798" name=""/>
                    <pic:cNvPicPr/>
                  </pic:nvPicPr>
                  <pic:blipFill>
                    <a:blip r:embed="rId13"/>
                    <a:stretch>
                      <a:fillRect/>
                    </a:stretch>
                  </pic:blipFill>
                  <pic:spPr>
                    <a:xfrm>
                      <a:off x="0" y="0"/>
                      <a:ext cx="5024051" cy="2445648"/>
                    </a:xfrm>
                    <a:prstGeom prst="rect">
                      <a:avLst/>
                    </a:prstGeom>
                  </pic:spPr>
                </pic:pic>
              </a:graphicData>
            </a:graphic>
          </wp:inline>
        </w:drawing>
      </w:r>
    </w:p>
    <w:p w14:paraId="1D1787FE" w14:textId="417C77C7" w:rsidR="000031E1" w:rsidRDefault="001F6E88" w:rsidP="001F6E88">
      <w:pPr>
        <w:jc w:val="center"/>
      </w:pPr>
      <w:r>
        <w:rPr>
          <w:i/>
          <w:color w:val="64748B"/>
          <w:sz w:val="19"/>
        </w:rPr>
        <w:t xml:space="preserve">Figure </w:t>
      </w:r>
      <w:proofErr w:type="gramStart"/>
      <w:r>
        <w:rPr>
          <w:i/>
          <w:color w:val="64748B"/>
          <w:sz w:val="19"/>
        </w:rPr>
        <w:t>5.1 :</w:t>
      </w:r>
      <w:proofErr w:type="gramEnd"/>
      <w:r>
        <w:rPr>
          <w:i/>
          <w:color w:val="64748B"/>
          <w:sz w:val="19"/>
        </w:rPr>
        <w:t xml:space="preserve"> Module de Gestion des Assurances, </w:t>
      </w:r>
      <w:proofErr w:type="spellStart"/>
      <w:r>
        <w:rPr>
          <w:i/>
          <w:color w:val="64748B"/>
          <w:sz w:val="19"/>
        </w:rPr>
        <w:t>Sinistres</w:t>
      </w:r>
      <w:proofErr w:type="spellEnd"/>
      <w:r>
        <w:rPr>
          <w:i/>
          <w:color w:val="64748B"/>
          <w:sz w:val="19"/>
        </w:rPr>
        <w:t xml:space="preserve"> &amp; Infractions (/assurances)]</w:t>
      </w:r>
    </w:p>
    <w:p w14:paraId="6B5D3B42" w14:textId="77777777" w:rsidR="001F6E88" w:rsidRDefault="00000000">
      <w:pPr>
        <w:rPr>
          <w:b/>
          <w:color w:val="0A1E3F"/>
          <w:sz w:val="21"/>
        </w:rPr>
      </w:pPr>
      <w:r>
        <w:rPr>
          <w:b/>
          <w:color w:val="0A1E3F"/>
          <w:sz w:val="21"/>
        </w:rPr>
        <w:t xml:space="preserve">Figure </w:t>
      </w:r>
      <w:proofErr w:type="gramStart"/>
      <w:r>
        <w:rPr>
          <w:b/>
          <w:color w:val="0A1E3F"/>
          <w:sz w:val="21"/>
        </w:rPr>
        <w:t>5.2 :</w:t>
      </w:r>
      <w:proofErr w:type="gramEnd"/>
      <w:r>
        <w:rPr>
          <w:b/>
          <w:color w:val="0A1E3F"/>
          <w:sz w:val="21"/>
        </w:rPr>
        <w:t xml:space="preserve"> Formulaire de Déclaration de Sinistre &amp; Bascule </w:t>
      </w:r>
      <w:proofErr w:type="spellStart"/>
      <w:r>
        <w:rPr>
          <w:b/>
          <w:color w:val="0A1E3F"/>
          <w:sz w:val="21"/>
        </w:rPr>
        <w:t>Automatique</w:t>
      </w:r>
      <w:proofErr w:type="spellEnd"/>
      <w:r>
        <w:rPr>
          <w:b/>
          <w:color w:val="0A1E3F"/>
          <w:sz w:val="21"/>
        </w:rPr>
        <w:t xml:space="preserve"> au </w:t>
      </w:r>
      <w:proofErr w:type="spellStart"/>
      <w:r>
        <w:rPr>
          <w:b/>
          <w:color w:val="0A1E3F"/>
          <w:sz w:val="21"/>
        </w:rPr>
        <w:t>Statut</w:t>
      </w:r>
      <w:proofErr w:type="spellEnd"/>
      <w:r>
        <w:rPr>
          <w:b/>
          <w:color w:val="0A1E3F"/>
          <w:sz w:val="21"/>
        </w:rPr>
        <w:t xml:space="preserve"> ACCIDENTE</w:t>
      </w:r>
    </w:p>
    <w:p w14:paraId="17EF9E9C" w14:textId="6C4C7038" w:rsidR="000031E1" w:rsidRDefault="001F6E88" w:rsidP="001F6E88">
      <w:pPr>
        <w:jc w:val="center"/>
      </w:pPr>
      <w:r>
        <w:rPr>
          <w:noProof/>
        </w:rPr>
        <w:drawing>
          <wp:inline distT="0" distB="0" distL="0" distR="0" wp14:anchorId="7D015DD6" wp14:editId="5951963E">
            <wp:extent cx="2203053" cy="2095018"/>
            <wp:effectExtent l="0" t="0" r="6985" b="635"/>
            <wp:docPr id="3745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397" name=""/>
                    <pic:cNvPicPr/>
                  </pic:nvPicPr>
                  <pic:blipFill>
                    <a:blip r:embed="rId14"/>
                    <a:stretch>
                      <a:fillRect/>
                    </a:stretch>
                  </pic:blipFill>
                  <pic:spPr>
                    <a:xfrm>
                      <a:off x="0" y="0"/>
                      <a:ext cx="2245934" cy="2135796"/>
                    </a:xfrm>
                    <a:prstGeom prst="rect">
                      <a:avLst/>
                    </a:prstGeom>
                  </pic:spPr>
                </pic:pic>
              </a:graphicData>
            </a:graphic>
          </wp:inline>
        </w:drawing>
      </w:r>
      <w:r w:rsidRPr="001F6E88">
        <w:drawing>
          <wp:inline distT="0" distB="0" distL="0" distR="0" wp14:anchorId="3DC3899B" wp14:editId="2C40C769">
            <wp:extent cx="2308762" cy="2089231"/>
            <wp:effectExtent l="0" t="0" r="0" b="6350"/>
            <wp:docPr id="160135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57963" name=""/>
                    <pic:cNvPicPr/>
                  </pic:nvPicPr>
                  <pic:blipFill>
                    <a:blip r:embed="rId15"/>
                    <a:stretch>
                      <a:fillRect/>
                    </a:stretch>
                  </pic:blipFill>
                  <pic:spPr>
                    <a:xfrm>
                      <a:off x="0" y="0"/>
                      <a:ext cx="2340921" cy="2118333"/>
                    </a:xfrm>
                    <a:prstGeom prst="rect">
                      <a:avLst/>
                    </a:prstGeom>
                  </pic:spPr>
                </pic:pic>
              </a:graphicData>
            </a:graphic>
          </wp:inline>
        </w:drawing>
      </w:r>
      <w:r w:rsidR="00000000">
        <w:rPr>
          <w:b/>
          <w:color w:val="0A1E3F"/>
          <w:sz w:val="21"/>
        </w:rPr>
        <w:br/>
      </w:r>
      <w:r>
        <w:rPr>
          <w:i/>
          <w:color w:val="64748B"/>
          <w:sz w:val="19"/>
        </w:rPr>
        <w:t xml:space="preserve">Figure </w:t>
      </w:r>
      <w:proofErr w:type="gramStart"/>
      <w:r>
        <w:rPr>
          <w:i/>
          <w:color w:val="64748B"/>
          <w:sz w:val="19"/>
        </w:rPr>
        <w:t>5.2 :</w:t>
      </w:r>
      <w:proofErr w:type="gramEnd"/>
      <w:r>
        <w:rPr>
          <w:i/>
          <w:color w:val="64748B"/>
          <w:sz w:val="19"/>
        </w:rPr>
        <w:t xml:space="preserve"> </w:t>
      </w:r>
      <w:proofErr w:type="spellStart"/>
      <w:r>
        <w:rPr>
          <w:i/>
          <w:color w:val="64748B"/>
          <w:sz w:val="19"/>
        </w:rPr>
        <w:t>Formulaire</w:t>
      </w:r>
      <w:proofErr w:type="spellEnd"/>
      <w:r>
        <w:rPr>
          <w:i/>
          <w:color w:val="64748B"/>
          <w:sz w:val="19"/>
        </w:rPr>
        <w:t xml:space="preserve"> de </w:t>
      </w:r>
      <w:proofErr w:type="spellStart"/>
      <w:r>
        <w:rPr>
          <w:i/>
          <w:color w:val="64748B"/>
          <w:sz w:val="19"/>
        </w:rPr>
        <w:t>Déclaration</w:t>
      </w:r>
      <w:proofErr w:type="spellEnd"/>
      <w:r>
        <w:rPr>
          <w:i/>
          <w:color w:val="64748B"/>
          <w:sz w:val="19"/>
        </w:rPr>
        <w:t xml:space="preserve"> de </w:t>
      </w:r>
      <w:proofErr w:type="spellStart"/>
      <w:r>
        <w:rPr>
          <w:i/>
          <w:color w:val="64748B"/>
          <w:sz w:val="19"/>
        </w:rPr>
        <w:t>Sinistre</w:t>
      </w:r>
      <w:proofErr w:type="spellEnd"/>
      <w:r>
        <w:rPr>
          <w:i/>
          <w:color w:val="64748B"/>
          <w:sz w:val="19"/>
        </w:rPr>
        <w:t xml:space="preserve"> &amp; </w:t>
      </w:r>
      <w:r w:rsidRPr="001F6E88">
        <w:rPr>
          <w:i/>
          <w:color w:val="64748B"/>
          <w:sz w:val="19"/>
        </w:rPr>
        <w:t xml:space="preserve">Police </w:t>
      </w:r>
      <w:proofErr w:type="spellStart"/>
      <w:r w:rsidRPr="001F6E88">
        <w:rPr>
          <w:i/>
          <w:color w:val="64748B"/>
          <w:sz w:val="19"/>
        </w:rPr>
        <w:t>d'assurance</w:t>
      </w:r>
      <w:proofErr w:type="spellEnd"/>
    </w:p>
    <w:p w14:paraId="593D17DE" w14:textId="77777777" w:rsidR="001F6E88" w:rsidRDefault="00000000">
      <w:pPr>
        <w:rPr>
          <w:b/>
          <w:color w:val="0A1E3F"/>
          <w:sz w:val="21"/>
        </w:rPr>
      </w:pPr>
      <w:r>
        <w:rPr>
          <w:b/>
          <w:color w:val="0A1E3F"/>
          <w:sz w:val="21"/>
        </w:rPr>
        <w:lastRenderedPageBreak/>
        <w:t xml:space="preserve">Figure </w:t>
      </w:r>
      <w:proofErr w:type="gramStart"/>
      <w:r>
        <w:rPr>
          <w:b/>
          <w:color w:val="0A1E3F"/>
          <w:sz w:val="21"/>
        </w:rPr>
        <w:t>5.3 :</w:t>
      </w:r>
      <w:proofErr w:type="gramEnd"/>
      <w:r>
        <w:rPr>
          <w:b/>
          <w:color w:val="0A1E3F"/>
          <w:sz w:val="21"/>
        </w:rPr>
        <w:t xml:space="preserve"> Module des Visites Techniques, Taxes Automobiles &amp; Réforme (/visites-techniques)</w:t>
      </w:r>
    </w:p>
    <w:p w14:paraId="5EA47760" w14:textId="0FAE35CD" w:rsidR="000031E1" w:rsidRDefault="001F6E88" w:rsidP="001F6E88">
      <w:pPr>
        <w:ind w:left="-810" w:right="-1170" w:firstLine="90"/>
        <w:jc w:val="center"/>
      </w:pPr>
      <w:r>
        <w:rPr>
          <w:noProof/>
        </w:rPr>
        <w:drawing>
          <wp:inline distT="0" distB="0" distL="0" distR="0" wp14:anchorId="1E25C3D4" wp14:editId="054D73D1">
            <wp:extent cx="3362446" cy="1865870"/>
            <wp:effectExtent l="0" t="0" r="0" b="1270"/>
            <wp:docPr id="10235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5437" name=""/>
                    <pic:cNvPicPr/>
                  </pic:nvPicPr>
                  <pic:blipFill>
                    <a:blip r:embed="rId16"/>
                    <a:stretch>
                      <a:fillRect/>
                    </a:stretch>
                  </pic:blipFill>
                  <pic:spPr>
                    <a:xfrm>
                      <a:off x="0" y="0"/>
                      <a:ext cx="3385811" cy="1878836"/>
                    </a:xfrm>
                    <a:prstGeom prst="rect">
                      <a:avLst/>
                    </a:prstGeom>
                  </pic:spPr>
                </pic:pic>
              </a:graphicData>
            </a:graphic>
          </wp:inline>
        </w:drawing>
      </w:r>
      <w:r>
        <w:rPr>
          <w:noProof/>
        </w:rPr>
        <w:drawing>
          <wp:inline distT="0" distB="0" distL="0" distR="0" wp14:anchorId="42960F9C" wp14:editId="521BCDAD">
            <wp:extent cx="3368232" cy="1872679"/>
            <wp:effectExtent l="0" t="0" r="3810" b="0"/>
            <wp:docPr id="75153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33975" name=""/>
                    <pic:cNvPicPr/>
                  </pic:nvPicPr>
                  <pic:blipFill>
                    <a:blip r:embed="rId17"/>
                    <a:stretch>
                      <a:fillRect/>
                    </a:stretch>
                  </pic:blipFill>
                  <pic:spPr>
                    <a:xfrm>
                      <a:off x="0" y="0"/>
                      <a:ext cx="3392000" cy="1885894"/>
                    </a:xfrm>
                    <a:prstGeom prst="rect">
                      <a:avLst/>
                    </a:prstGeom>
                  </pic:spPr>
                </pic:pic>
              </a:graphicData>
            </a:graphic>
          </wp:inline>
        </w:drawing>
      </w:r>
      <w:r w:rsidR="00000000">
        <w:rPr>
          <w:b/>
          <w:color w:val="0A1E3F"/>
          <w:sz w:val="21"/>
        </w:rPr>
        <w:br/>
      </w:r>
      <w:r w:rsidRPr="001F6E88">
        <w:drawing>
          <wp:inline distT="0" distB="0" distL="0" distR="0" wp14:anchorId="11655575" wp14:editId="582DAABB">
            <wp:extent cx="6157280" cy="3431894"/>
            <wp:effectExtent l="0" t="0" r="0" b="0"/>
            <wp:docPr id="199263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36949" name=""/>
                    <pic:cNvPicPr/>
                  </pic:nvPicPr>
                  <pic:blipFill>
                    <a:blip r:embed="rId18"/>
                    <a:stretch>
                      <a:fillRect/>
                    </a:stretch>
                  </pic:blipFill>
                  <pic:spPr>
                    <a:xfrm>
                      <a:off x="0" y="0"/>
                      <a:ext cx="6161007" cy="3433971"/>
                    </a:xfrm>
                    <a:prstGeom prst="rect">
                      <a:avLst/>
                    </a:prstGeom>
                  </pic:spPr>
                </pic:pic>
              </a:graphicData>
            </a:graphic>
          </wp:inline>
        </w:drawing>
      </w:r>
    </w:p>
    <w:p w14:paraId="6D4CEAE0" w14:textId="19FF4C6D" w:rsidR="000031E1" w:rsidRDefault="001F6E88" w:rsidP="001F6E88">
      <w:pPr>
        <w:jc w:val="center"/>
        <w:rPr>
          <w:i/>
          <w:color w:val="64748B"/>
          <w:sz w:val="19"/>
        </w:rPr>
      </w:pPr>
      <w:r>
        <w:rPr>
          <w:i/>
          <w:color w:val="64748B"/>
          <w:sz w:val="19"/>
        </w:rPr>
        <w:t xml:space="preserve">Figure </w:t>
      </w:r>
      <w:proofErr w:type="gramStart"/>
      <w:r>
        <w:rPr>
          <w:i/>
          <w:color w:val="64748B"/>
          <w:sz w:val="19"/>
        </w:rPr>
        <w:t>5.3 :</w:t>
      </w:r>
      <w:proofErr w:type="gramEnd"/>
      <w:r>
        <w:rPr>
          <w:i/>
          <w:color w:val="64748B"/>
          <w:sz w:val="19"/>
        </w:rPr>
        <w:t xml:space="preserve"> Module des </w:t>
      </w:r>
      <w:proofErr w:type="spellStart"/>
      <w:r>
        <w:rPr>
          <w:i/>
          <w:color w:val="64748B"/>
          <w:sz w:val="19"/>
        </w:rPr>
        <w:t>Visites</w:t>
      </w:r>
      <w:proofErr w:type="spellEnd"/>
      <w:r>
        <w:rPr>
          <w:i/>
          <w:color w:val="64748B"/>
          <w:sz w:val="19"/>
        </w:rPr>
        <w:t xml:space="preserve"> Techniques, Taxes Automobiles &amp; </w:t>
      </w:r>
      <w:proofErr w:type="spellStart"/>
      <w:r>
        <w:rPr>
          <w:i/>
          <w:color w:val="64748B"/>
          <w:sz w:val="19"/>
        </w:rPr>
        <w:t>Réforme</w:t>
      </w:r>
      <w:proofErr w:type="spellEnd"/>
      <w:r>
        <w:rPr>
          <w:i/>
          <w:color w:val="64748B"/>
          <w:sz w:val="19"/>
        </w:rPr>
        <w:t xml:space="preserve"> (/</w:t>
      </w:r>
      <w:proofErr w:type="spellStart"/>
      <w:r>
        <w:rPr>
          <w:i/>
          <w:color w:val="64748B"/>
          <w:sz w:val="19"/>
        </w:rPr>
        <w:t>visites</w:t>
      </w:r>
      <w:proofErr w:type="spellEnd"/>
      <w:r>
        <w:rPr>
          <w:i/>
          <w:color w:val="64748B"/>
          <w:sz w:val="19"/>
        </w:rPr>
        <w:t>-techniques)</w:t>
      </w:r>
    </w:p>
    <w:p w14:paraId="1A78D20F" w14:textId="77777777" w:rsidR="003900A8" w:rsidRDefault="003900A8" w:rsidP="001F6E88">
      <w:pPr>
        <w:jc w:val="center"/>
      </w:pPr>
    </w:p>
    <w:p w14:paraId="514BC373" w14:textId="77777777" w:rsidR="003900A8" w:rsidRDefault="003900A8">
      <w:pPr>
        <w:rPr>
          <w:b/>
          <w:color w:val="0A1E3F"/>
          <w:sz w:val="21"/>
        </w:rPr>
      </w:pPr>
    </w:p>
    <w:p w14:paraId="5BEA02A1" w14:textId="29C5621B" w:rsidR="003900A8" w:rsidRDefault="003900A8" w:rsidP="003900A8">
      <w:pPr>
        <w:rPr>
          <w:b/>
          <w:color w:val="0A1E3F"/>
          <w:sz w:val="21"/>
        </w:rPr>
      </w:pPr>
      <w:r>
        <w:rPr>
          <w:b/>
          <w:color w:val="0A1E3F"/>
          <w:sz w:val="21"/>
        </w:rPr>
        <w:br w:type="page"/>
      </w:r>
    </w:p>
    <w:p w14:paraId="3ADB7DEC" w14:textId="1A8DF179" w:rsidR="000031E1" w:rsidRDefault="00000000" w:rsidP="003900A8">
      <w:pPr>
        <w:ind w:left="-810" w:right="-810"/>
        <w:jc w:val="center"/>
      </w:pPr>
      <w:r>
        <w:rPr>
          <w:b/>
          <w:color w:val="0A1E3F"/>
          <w:sz w:val="21"/>
        </w:rPr>
        <w:lastRenderedPageBreak/>
        <w:t xml:space="preserve">Figure </w:t>
      </w:r>
      <w:proofErr w:type="gramStart"/>
      <w:r>
        <w:rPr>
          <w:b/>
          <w:color w:val="0A1E3F"/>
          <w:sz w:val="21"/>
        </w:rPr>
        <w:t>5.</w:t>
      </w:r>
      <w:r w:rsidR="001F6E88">
        <w:rPr>
          <w:b/>
          <w:color w:val="0A1E3F"/>
          <w:sz w:val="21"/>
        </w:rPr>
        <w:t>4</w:t>
      </w:r>
      <w:r>
        <w:rPr>
          <w:b/>
          <w:color w:val="0A1E3F"/>
          <w:sz w:val="21"/>
        </w:rPr>
        <w:t xml:space="preserve"> :</w:t>
      </w:r>
      <w:proofErr w:type="gramEnd"/>
      <w:r>
        <w:rPr>
          <w:b/>
          <w:color w:val="0A1E3F"/>
          <w:sz w:val="21"/>
        </w:rPr>
        <w:t xml:space="preserve"> Tableau de Bord </w:t>
      </w:r>
      <w:proofErr w:type="spellStart"/>
      <w:r>
        <w:rPr>
          <w:b/>
          <w:color w:val="0A1E3F"/>
          <w:sz w:val="21"/>
        </w:rPr>
        <w:t>Budgétaire</w:t>
      </w:r>
      <w:proofErr w:type="spellEnd"/>
      <w:r>
        <w:rPr>
          <w:b/>
          <w:color w:val="0A1E3F"/>
          <w:sz w:val="21"/>
        </w:rPr>
        <w:t xml:space="preserve"> </w:t>
      </w:r>
      <w:proofErr w:type="spellStart"/>
      <w:r>
        <w:rPr>
          <w:b/>
          <w:color w:val="0A1E3F"/>
          <w:sz w:val="21"/>
        </w:rPr>
        <w:t>Analytique</w:t>
      </w:r>
      <w:proofErr w:type="spellEnd"/>
      <w:r>
        <w:rPr>
          <w:b/>
          <w:color w:val="0A1E3F"/>
          <w:sz w:val="21"/>
        </w:rPr>
        <w:t xml:space="preserve"> &amp; </w:t>
      </w:r>
      <w:proofErr w:type="spellStart"/>
      <w:r>
        <w:rPr>
          <w:b/>
          <w:color w:val="0A1E3F"/>
          <w:sz w:val="21"/>
        </w:rPr>
        <w:t>Prévisions</w:t>
      </w:r>
      <w:proofErr w:type="spellEnd"/>
      <w:r>
        <w:rPr>
          <w:b/>
          <w:color w:val="0A1E3F"/>
          <w:sz w:val="21"/>
        </w:rPr>
        <w:t xml:space="preserve"> Carburant (/budget)</w:t>
      </w:r>
      <w:r>
        <w:rPr>
          <w:b/>
          <w:color w:val="0A1E3F"/>
          <w:sz w:val="21"/>
        </w:rPr>
        <w:br/>
      </w:r>
      <w:r w:rsidR="003900A8">
        <w:rPr>
          <w:noProof/>
        </w:rPr>
        <w:drawing>
          <wp:inline distT="0" distB="0" distL="0" distR="0" wp14:anchorId="71CFDB7E" wp14:editId="44C6D2B3">
            <wp:extent cx="3298182" cy="1803782"/>
            <wp:effectExtent l="0" t="0" r="0" b="6350"/>
            <wp:docPr id="108750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5076" name=""/>
                    <pic:cNvPicPr/>
                  </pic:nvPicPr>
                  <pic:blipFill>
                    <a:blip r:embed="rId19"/>
                    <a:stretch>
                      <a:fillRect/>
                    </a:stretch>
                  </pic:blipFill>
                  <pic:spPr>
                    <a:xfrm>
                      <a:off x="0" y="0"/>
                      <a:ext cx="3328197" cy="1820197"/>
                    </a:xfrm>
                    <a:prstGeom prst="rect">
                      <a:avLst/>
                    </a:prstGeom>
                  </pic:spPr>
                </pic:pic>
              </a:graphicData>
            </a:graphic>
          </wp:inline>
        </w:drawing>
      </w:r>
      <w:r w:rsidR="003900A8" w:rsidRPr="003900A8">
        <w:rPr>
          <w:noProof/>
        </w:rPr>
        <w:drawing>
          <wp:inline distT="0" distB="0" distL="0" distR="0" wp14:anchorId="3B6A7DAB" wp14:editId="66B7234F">
            <wp:extent cx="3335182" cy="1813683"/>
            <wp:effectExtent l="0" t="0" r="0" b="0"/>
            <wp:docPr id="186013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32083" name=""/>
                    <pic:cNvPicPr/>
                  </pic:nvPicPr>
                  <pic:blipFill>
                    <a:blip r:embed="rId20"/>
                    <a:stretch>
                      <a:fillRect/>
                    </a:stretch>
                  </pic:blipFill>
                  <pic:spPr>
                    <a:xfrm>
                      <a:off x="0" y="0"/>
                      <a:ext cx="3358030" cy="1826108"/>
                    </a:xfrm>
                    <a:prstGeom prst="rect">
                      <a:avLst/>
                    </a:prstGeom>
                  </pic:spPr>
                </pic:pic>
              </a:graphicData>
            </a:graphic>
          </wp:inline>
        </w:drawing>
      </w:r>
      <w:r w:rsidR="003900A8">
        <w:rPr>
          <w:noProof/>
        </w:rPr>
        <w:drawing>
          <wp:inline distT="0" distB="0" distL="0" distR="0" wp14:anchorId="1B620437" wp14:editId="1D1468A3">
            <wp:extent cx="5364832" cy="2921999"/>
            <wp:effectExtent l="0" t="0" r="7620" b="0"/>
            <wp:docPr id="56442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23504" name=""/>
                    <pic:cNvPicPr/>
                  </pic:nvPicPr>
                  <pic:blipFill>
                    <a:blip r:embed="rId21"/>
                    <a:stretch>
                      <a:fillRect/>
                    </a:stretch>
                  </pic:blipFill>
                  <pic:spPr>
                    <a:xfrm>
                      <a:off x="0" y="0"/>
                      <a:ext cx="5375427" cy="2927770"/>
                    </a:xfrm>
                    <a:prstGeom prst="rect">
                      <a:avLst/>
                    </a:prstGeom>
                  </pic:spPr>
                </pic:pic>
              </a:graphicData>
            </a:graphic>
          </wp:inline>
        </w:drawing>
      </w:r>
    </w:p>
    <w:p w14:paraId="211F8937" w14:textId="7EFD00FF" w:rsidR="000031E1" w:rsidRDefault="003900A8" w:rsidP="003900A8">
      <w:pPr>
        <w:jc w:val="center"/>
      </w:pPr>
      <w:r>
        <w:rPr>
          <w:i/>
          <w:color w:val="64748B"/>
          <w:sz w:val="19"/>
        </w:rPr>
        <w:t xml:space="preserve">Figure </w:t>
      </w:r>
      <w:proofErr w:type="gramStart"/>
      <w:r>
        <w:rPr>
          <w:i/>
          <w:color w:val="64748B"/>
          <w:sz w:val="19"/>
        </w:rPr>
        <w:t>5.5 :</w:t>
      </w:r>
      <w:proofErr w:type="gramEnd"/>
      <w:r>
        <w:rPr>
          <w:i/>
          <w:color w:val="64748B"/>
          <w:sz w:val="19"/>
        </w:rPr>
        <w:t xml:space="preserve"> Tableau de Bord </w:t>
      </w:r>
      <w:proofErr w:type="spellStart"/>
      <w:r>
        <w:rPr>
          <w:i/>
          <w:color w:val="64748B"/>
          <w:sz w:val="19"/>
        </w:rPr>
        <w:t>Budgétaire</w:t>
      </w:r>
      <w:proofErr w:type="spellEnd"/>
      <w:r>
        <w:rPr>
          <w:i/>
          <w:color w:val="64748B"/>
          <w:sz w:val="19"/>
        </w:rPr>
        <w:t xml:space="preserve"> </w:t>
      </w:r>
      <w:proofErr w:type="spellStart"/>
      <w:r>
        <w:rPr>
          <w:i/>
          <w:color w:val="64748B"/>
          <w:sz w:val="19"/>
        </w:rPr>
        <w:t>Analytique</w:t>
      </w:r>
      <w:proofErr w:type="spellEnd"/>
      <w:r>
        <w:rPr>
          <w:i/>
          <w:color w:val="64748B"/>
          <w:sz w:val="19"/>
        </w:rPr>
        <w:t xml:space="preserve"> &amp; </w:t>
      </w:r>
      <w:proofErr w:type="spellStart"/>
      <w:r>
        <w:rPr>
          <w:i/>
          <w:color w:val="64748B"/>
          <w:sz w:val="19"/>
        </w:rPr>
        <w:t>Prévisions</w:t>
      </w:r>
      <w:proofErr w:type="spellEnd"/>
      <w:r>
        <w:rPr>
          <w:i/>
          <w:color w:val="64748B"/>
          <w:sz w:val="19"/>
        </w:rPr>
        <w:t xml:space="preserve"> Carburant (/budget)</w:t>
      </w:r>
    </w:p>
    <w:p w14:paraId="51DFC990" w14:textId="77777777" w:rsidR="000031E1" w:rsidRDefault="00000000">
      <w:r>
        <w:rPr>
          <w:b/>
          <w:color w:val="0A1E3F"/>
          <w:sz w:val="28"/>
        </w:rPr>
        <w:t>5. Conclusion du Sprint 5 et Bilan Global du Projet PFA</w:t>
      </w:r>
    </w:p>
    <w:p w14:paraId="11447733" w14:textId="77777777" w:rsidR="000031E1" w:rsidRDefault="00000000">
      <w:r>
        <w:t>Le cinquième et dernier sprint clôture avec succès l'ensemble du projet Park Auto MEF. Toutes les exigences fonctionnelles et techniques énoncées dans le Cahier des Charges du Ministère de l'Économie et des Finances du Maroc ont été développées, testées et validées avec une couverture fonctionnelle de 100%.</w:t>
      </w:r>
    </w:p>
    <w:sectPr w:rsidR="000031E1" w:rsidSect="00034616">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084A9" w14:textId="77777777" w:rsidR="0069622C" w:rsidRDefault="0069622C">
      <w:pPr>
        <w:spacing w:after="0" w:line="240" w:lineRule="auto"/>
      </w:pPr>
      <w:r>
        <w:separator/>
      </w:r>
    </w:p>
  </w:endnote>
  <w:endnote w:type="continuationSeparator" w:id="0">
    <w:p w14:paraId="5DADB7A9" w14:textId="77777777" w:rsidR="0069622C" w:rsidRDefault="00696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D29DE" w14:textId="414C6A42" w:rsidR="000031E1" w:rsidRDefault="000031E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FB2F6" w14:textId="77777777" w:rsidR="0069622C" w:rsidRDefault="0069622C">
      <w:pPr>
        <w:spacing w:after="0" w:line="240" w:lineRule="auto"/>
      </w:pPr>
      <w:r>
        <w:separator/>
      </w:r>
    </w:p>
  </w:footnote>
  <w:footnote w:type="continuationSeparator" w:id="0">
    <w:p w14:paraId="50F38054" w14:textId="77777777" w:rsidR="0069622C" w:rsidRDefault="00696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AB07" w14:textId="05ACACD2" w:rsidR="000031E1" w:rsidRDefault="000031E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710623">
    <w:abstractNumId w:val="8"/>
  </w:num>
  <w:num w:numId="2" w16cid:durableId="1437286485">
    <w:abstractNumId w:val="6"/>
  </w:num>
  <w:num w:numId="3" w16cid:durableId="206376201">
    <w:abstractNumId w:val="5"/>
  </w:num>
  <w:num w:numId="4" w16cid:durableId="620113821">
    <w:abstractNumId w:val="4"/>
  </w:num>
  <w:num w:numId="5" w16cid:durableId="1144007665">
    <w:abstractNumId w:val="7"/>
  </w:num>
  <w:num w:numId="6" w16cid:durableId="661467249">
    <w:abstractNumId w:val="3"/>
  </w:num>
  <w:num w:numId="7" w16cid:durableId="1082533233">
    <w:abstractNumId w:val="2"/>
  </w:num>
  <w:num w:numId="8" w16cid:durableId="786781284">
    <w:abstractNumId w:val="1"/>
  </w:num>
  <w:num w:numId="9" w16cid:durableId="336468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E1"/>
    <w:rsid w:val="00034616"/>
    <w:rsid w:val="0006063C"/>
    <w:rsid w:val="0015074B"/>
    <w:rsid w:val="001F6E88"/>
    <w:rsid w:val="0029639D"/>
    <w:rsid w:val="00326F90"/>
    <w:rsid w:val="003900A8"/>
    <w:rsid w:val="00451E6A"/>
    <w:rsid w:val="004C7440"/>
    <w:rsid w:val="0069622C"/>
    <w:rsid w:val="00733FA8"/>
    <w:rsid w:val="007D1C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EE5A7"/>
  <w14:defaultImageDpi w14:val="300"/>
  <w15:docId w15:val="{773A4846-DCFB-4DC0-B7D6-78B4737C5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1164</TotalTime>
  <Pages>7</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hasan el khatoury</cp:lastModifiedBy>
  <cp:revision>3</cp:revision>
  <dcterms:created xsi:type="dcterms:W3CDTF">2013-12-23T23:15:00Z</dcterms:created>
  <dcterms:modified xsi:type="dcterms:W3CDTF">2026-08-15T13:50:00Z</dcterms:modified>
  <cp:category/>
</cp:coreProperties>
</file>