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Calibri" w:cs="Calibri"/>
          <w:b/>
          <w:i w:val="0"/>
          <w:color w:val="12212E"/>
          <w:sz w:val="36"/>
        </w:rPr>
        <w:t>MUHD HASSAN BIN MOHD GHAZALI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 w:cs="Calibri"/>
          <w:b/>
          <w:i w:val="0"/>
          <w:color w:val="1B4F86"/>
          <w:sz w:val="20"/>
        </w:rPr>
        <w:t>DIGITAL MARKETING SPECIALIST</w:t>
      </w:r>
    </w:p>
    <w:p>
      <w:pPr>
        <w:spacing w:before="0" w:after="80" w:line="240" w:lineRule="auto"/>
        <w:jc w:val="center"/>
        <w:pBdr>
          <w:bottom w:val="single" w:sz="20" w:space="1" w:color="12212E"/>
        </w:pBdr>
      </w:pPr>
      <w:r>
        <w:rPr>
          <w:rFonts w:ascii="Calibri" w:hAnsi="Calibri" w:eastAsia="Calibri" w:cs="Calibri"/>
          <w:b w:val="0"/>
          <w:i w:val="0"/>
          <w:color w:val="4A5A68"/>
          <w:sz w:val="18"/>
        </w:rPr>
        <w:t>Kuala Lumpur, Malaysia | +60 11-2835 4284 | hbbalibsa@gmail.com | linkedin.com/in/hassan-ghazali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PROFESSIONAL SUMMARY</w:t>
      </w:r>
    </w:p>
    <w:p>
      <w:pPr>
        <w:spacing w:before="0" w:after="40" w:line="250" w:lineRule="auto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Digital marketing specialist with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2 years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across content and performance marketing, focused on paid social and lead generation. Runs Meta and TikTok campaigns end to end, with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RM51,627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ad spend behind campaigns that generated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RM5.5M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applications submitted and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RM2.8M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disbursed loans. Also designed the customer journey and front end of a live financing platform, and is now building marketing analytics capability through PeopleCert Data Science certifications.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WORK EXPERIENCE</w:t>
      </w:r>
    </w:p>
    <w:p>
      <w:pPr>
        <w:spacing w:before="4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21"/>
        </w:rPr>
        <w:t>Marketing &amp; Growth Specialist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>SWR eFinance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>Jan 2026 to Sep 2026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Plan and manage Meta and TikTok ad campaigns end to end: planning, audience targeting, creative direction and lead acquisition.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Designed the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seven-stage financing pipeline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(Semakan Awal through Disbursed) that agents and customers now work from.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Designed the customer journey and built the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front end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for both sides of the platform: the customer application site (eligibility check, document upload, status tracking, PDPA-compliant submission) and the agent portal (case queue, document checklists, offer calculator, activity history).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Worked with the back-end team on developing the portal, translating the financing workflow into a working system.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Work across marketing, sales and technology to improve lead handling and shorten the time from enquiry to disbursement.</w:t>
      </w:r>
    </w:p>
    <w:p>
      <w:pPr>
        <w:spacing w:before="4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21"/>
        </w:rPr>
        <w:t>Digital Marketing Executive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>Xanderia Marketing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>Oct 2025 to Dec 2025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CONTRACT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Managed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RM51,627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Meta and TikTok advertising for a personal financing product, generating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RM5.5M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applications submitted and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RM2.8M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in disbursed loans.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Built campaign audiences and creative for lead generation, running campaigns independently from setup through to review.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Tracked performance against sales and disbursement results rather than vanity metrics.</w:t>
      </w:r>
    </w:p>
    <w:p>
      <w:pPr>
        <w:spacing w:before="4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21"/>
        </w:rPr>
        <w:t>Digital Marketing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>Yayasan Ar-Riayyah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>May 2025 to Aug 2025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CONTRACT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Produced social content that generated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80,000+ likes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and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6,000+ new followers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within four months.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Created short-form videos, photography and livestreams for foundation campaigns and events.</w:t>
      </w:r>
    </w:p>
    <w:p>
      <w:pPr>
        <w:spacing w:before="4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21"/>
        </w:rPr>
        <w:t>Content Marketing Executive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>Susano Sdn. Bhd.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 xml:space="preserve"> | 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>2022 to 2023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Increased website traffic by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12%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and social engagement by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20%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through SEO and content campaigns.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Managed content across the company website and social media channels.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SKILLS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Digital Marketing: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Meta Ads, TikTok Ads, Lead Generation, Performance Marketing, Paid Advertising, Campaign Planning, Audience Targeting, Customer Acquisition, Social Media Marketing, Content Strategy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Google / Search: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Google Ads, SEM, SEO (currently developing)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Web &amp; Conversion: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Landing Page Design, Front-End Builds, WordPress, Conversion Optimization, Customer Journey Design, Digital Workflows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Analytics: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Excel, Campaign Reporting, KPI Tracking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Developing: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GA4, Power BI, Python, SQL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AI &amp; Design: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AI-Assisted Content Creation, Workflow Optimization, Canva, CapCut, Figma</w:t>
      </w:r>
    </w:p>
    <w:p>
      <w:pPr>
        <w:spacing w:before="0" w:after="24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 xml:space="preserve">Languages: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Malay (Native), English (Professional), Arabic (Professional)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EDUCATION</w:t>
      </w:r>
    </w:p>
    <w:p>
      <w:pPr>
        <w:tabs>
          <w:tab w:pos="10431" w:val="right"/>
        </w:tabs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20"/>
        </w:rPr>
        <w:t>Diploma in Business Administration</w:t>
      </w:r>
      <w:r>
        <w:rPr>
          <w:rFonts w:ascii="Calibri" w:hAnsi="Calibri" w:eastAsia="Calibri" w:cs="Calibri"/>
          <w:b w:val="0"/>
          <w:i w:val="0"/>
          <w:color w:val="1B4F86"/>
          <w:sz w:val="20"/>
        </w:rPr>
        <w:tab/>
      </w:r>
      <w:r>
        <w:rPr>
          <w:rFonts w:ascii="Calibri" w:hAnsi="Calibri" w:eastAsia="Calibri" w:cs="Calibri"/>
          <w:b/>
          <w:i w:val="0"/>
          <w:color w:val="1B4F86"/>
          <w:sz w:val="20"/>
        </w:rPr>
        <w:t>CGPA 3.70 / 4.00</w:t>
      </w:r>
    </w:p>
    <w:p>
      <w:pPr>
        <w:spacing w:before="0" w:after="40" w:line="240" w:lineRule="auto"/>
      </w:pPr>
      <w:r>
        <w:rPr>
          <w:rFonts w:ascii="Calibri" w:hAnsi="Calibri" w:eastAsia="Calibri" w:cs="Calibri"/>
          <w:b w:val="0"/>
          <w:i w:val="0"/>
          <w:color w:val="4A5A68"/>
          <w:sz w:val="19"/>
        </w:rPr>
        <w:t>Kolej Profesional MAIWP (KPMAIWP)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CERTIFICATIONS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PeopleCert Data Science Analyst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, certified 16 Sep 2026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PeopleCert Data Science Foundation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>, certified 4 Sep 2026</w:t>
      </w:r>
    </w:p>
    <w:p>
      <w:pPr>
        <w:spacing w:before="120" w:after="60" w:line="240" w:lineRule="auto"/>
        <w:pBdr>
          <w:bottom w:val="single" w:sz="8" w:space="1" w:color="1B4F86"/>
        </w:pBdr>
      </w:pPr>
      <w:r>
        <w:rPr>
          <w:rFonts w:ascii="Calibri" w:hAnsi="Calibri" w:eastAsia="Calibri" w:cs="Calibri"/>
          <w:b/>
          <w:i w:val="0"/>
          <w:color w:val="1B4F86"/>
          <w:sz w:val="19"/>
        </w:rPr>
        <w:t>ADDITIONAL EXPERIENCE</w:t>
      </w:r>
    </w:p>
    <w:p>
      <w:pPr>
        <w:spacing w:before="0" w:after="0" w:line="240" w:lineRule="auto"/>
      </w:pPr>
      <w:r>
        <w:rPr>
          <w:rFonts w:ascii="Calibri" w:hAnsi="Calibri" w:eastAsia="Calibri" w:cs="Calibri"/>
          <w:b/>
          <w:i w:val="0"/>
          <w:color w:val="12212E"/>
          <w:sz w:val="19"/>
        </w:rPr>
        <w:t>Retail Associate</w:t>
      </w:r>
      <w:r>
        <w:rPr>
          <w:rFonts w:ascii="Calibri" w:hAnsi="Calibri" w:eastAsia="Calibri" w:cs="Calibri"/>
          <w:b w:val="0"/>
          <w:i w:val="0"/>
          <w:color w:val="4A5A68"/>
          <w:sz w:val="19"/>
        </w:rPr>
        <w:t>, Typo Sdn. Bhd. | 2023 to 2025</w:t>
      </w:r>
    </w:p>
    <w:p>
      <w:pPr>
        <w:spacing w:before="0" w:after="24" w:line="240" w:lineRule="auto"/>
        <w:ind w:left="283" w:hanging="181"/>
      </w:pP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Increased sales by </w:t>
      </w:r>
      <w:r>
        <w:rPr>
          <w:rFonts w:ascii="Calibri" w:hAnsi="Calibri" w:eastAsia="Calibri" w:cs="Calibri"/>
          <w:b/>
          <w:i w:val="0"/>
          <w:color w:val="12212E"/>
          <w:sz w:val="19"/>
        </w:rPr>
        <w:t>15%</w:t>
      </w:r>
      <w:r>
        <w:rPr>
          <w:rFonts w:ascii="Calibri" w:hAnsi="Calibri" w:eastAsia="Calibri" w:cs="Calibri"/>
          <w:b w:val="0"/>
          <w:i w:val="0"/>
          <w:color w:val="12212E"/>
          <w:sz w:val="19"/>
        </w:rPr>
        <w:t xml:space="preserve"> through upselling and customer engagement, handling 150+ customers daily.</w:t>
      </w:r>
    </w:p>
    <w:p>
      <w:pPr>
        <w:spacing w:before="160" w:after="0" w:line="240" w:lineRule="auto"/>
        <w:jc w:val="center"/>
        <w:pBdr>
          <w:top w:val="single" w:sz="8" w:space="1" w:color="C9C2B6"/>
        </w:pBdr>
      </w:pPr>
      <w:r>
        <w:rPr>
          <w:rFonts w:ascii="Calibri" w:hAnsi="Calibri" w:eastAsia="Calibri" w:cs="Calibri"/>
          <w:b w:val="0"/>
          <w:i w:val="0"/>
          <w:color w:val="4A5A68"/>
          <w:sz w:val="17"/>
        </w:rPr>
        <w:t xml:space="preserve">Portfolio and live project screens: </w:t>
      </w:r>
      <w:r>
        <w:rPr>
          <w:rFonts w:ascii="Calibri" w:hAnsi="Calibri" w:eastAsia="Calibri" w:cs="Calibri"/>
          <w:b/>
          <w:i w:val="0"/>
          <w:color w:val="12212E"/>
          <w:sz w:val="17"/>
        </w:rPr>
        <w:t>hassan-ghazali.vercel.app</w:t>
      </w:r>
    </w:p>
    <w:sectPr w:rsidR="00FC693F" w:rsidRPr="0006063C" w:rsidSect="00034616">
      <w:pgSz w:w="11906" w:h="16838"/>
      <w:pgMar w:top="567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