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eastAsia="Calibri" w:cs="Calibri"/>
          <w:b/>
          <w:i w:val="0"/>
          <w:color w:val="12212E"/>
          <w:sz w:val="36"/>
        </w:rPr>
        <w:t>MUHD HASSAN BIN MOHD GHAZALI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i w:val="0"/>
          <w:color w:val="1B4F86"/>
          <w:sz w:val="20"/>
        </w:rPr>
        <w:t>DIGITAL MARKETING SPECIALIST</w:t>
      </w:r>
    </w:p>
    <w:p>
      <w:pPr>
        <w:spacing w:before="0" w:after="80" w:line="240" w:lineRule="auto"/>
        <w:jc w:val="center"/>
        <w:pBdr>
          <w:bottom w:val="single" w:sz="20" w:space="1" w:color="12212E"/>
        </w:pBdr>
      </w:pPr>
      <w:r>
        <w:rPr>
          <w:rFonts w:ascii="Calibri" w:hAnsi="Calibri" w:eastAsia="Calibri" w:cs="Calibri"/>
          <w:b w:val="0"/>
          <w:i w:val="0"/>
          <w:color w:val="4A5A68"/>
          <w:sz w:val="18"/>
        </w:rPr>
        <w:t>Kuala Lumpur, Malaysia | +60 11-2835 4284 | hbbalibsa@gmail.com | linkedin.com/in/hassan-ghazali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PROFESSIONAL SUMMARY</w:t>
      </w:r>
    </w:p>
    <w:p>
      <w:pPr>
        <w:spacing w:before="0" w:after="40" w:line="250" w:lineRule="auto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Digital marketing specialist with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 years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running paid social campaigns for financing products. I plan and manage Meta and TikTok advertising end to end, and my strongest areas are lead generation and performance marketing: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ad spend behind campaigns that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 I also designed the customer journey and front end of a live financing platform, and I am developing marketing analytics skills through PeopleCert Data Science certifications.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WORK EXPERIENCE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Marketing &amp; Growth Specialist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SWR eFinance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Jan 2026 to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Plan and manage Meta and TikTok campaigns end to end, covering audience targeting, creative direction and lead acquisition.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seven-stage financing workflow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the customer journey for a live financing platform, now used by agents and customers day to day.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front end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experience for the customer application site and the agent portal, including the PDPA-compliant submission flow, working with the back-end team to implement it.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Work across marketing, sales and technology to improve how leads are handled and followed up.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Xanderia Marketing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Oct 2025 to Dec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Managed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Meta and TikTok advertising for a personal financing product. Campaigns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Audited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272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application records and identified a spreadsheet calculation issue that understated December results by approximately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RM767,100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Built campaign audiences and creative for lead generation, running campaigns independently from setup through to review.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Tracked campaign performance against application, loan and disbursement outcomes.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Yayasan Ar-Riayyah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May 2025 to Aug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Produced social content that generated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80,000+ likes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6,000+ new followers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within four months.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Created short-form videos, photography and livestreams for foundation campaigns and events.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Content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Susano Sdn. Bhd.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2022 to 2023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website traffic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12%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social engagement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20%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SEO and content campaigns.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SKILLS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Digital Marketing: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Meta Ads, TikTok Ads, Lead Generation, Performance Marketing, Campaign Planning, Audience Targeting, Customer Acquisition, Social Media Marketing, Content Strategy, AI-Assisted Content Creation, Figma, Canva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Marketing Analytics: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Excel, Campaign Reporting, KPI Tracking, Performance Analysis, Data Auditing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Web &amp; Conversion: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Front-End Builds, Landing Page Design, WordPress, Conversion Optimization, Customer Journey Design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Google &amp; Search: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Google Ads, SEM, SEO (currently developing)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Developing: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GA4, Power BI, Python, SQL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Languages: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Malay (Native), English (Professional), Arabic (Professional)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EDUCATION</w:t>
      </w:r>
    </w:p>
    <w:p>
      <w:pPr>
        <w:tabs>
          <w:tab w:pos="10431" w:val="right"/>
        </w:tabs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0"/>
        </w:rPr>
        <w:t>Diploma in Business Administration</w:t>
      </w:r>
      <w:r>
        <w:rPr>
          <w:rFonts w:ascii="Calibri" w:hAnsi="Calibri" w:eastAsia="Calibri" w:cs="Calibri"/>
          <w:b w:val="0"/>
          <w:i w:val="0"/>
          <w:color w:val="1B4F86"/>
          <w:sz w:val="20"/>
        </w:rPr>
        <w:tab/>
      </w:r>
      <w:r>
        <w:rPr>
          <w:rFonts w:ascii="Calibri" w:hAnsi="Calibri" w:eastAsia="Calibri" w:cs="Calibri"/>
          <w:b/>
          <w:i w:val="0"/>
          <w:color w:val="1B4F86"/>
          <w:sz w:val="20"/>
        </w:rPr>
        <w:t>CGPA 3.70 / 4.00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 w:val="0"/>
          <w:i w:val="0"/>
          <w:color w:val="4A5A68"/>
          <w:sz w:val="19"/>
        </w:rPr>
        <w:t>Kolej Profesional MAIWP (KPMAIWP)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CERTIFICATIONS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Analyst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16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Foundation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4 Sep 2026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ADDITIONAL EXPERIENCE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Retail Associate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, Typo Sdn. Bhd. | 2023 to 2025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sales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15%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upselling and customer engagement, handling 150+ customers daily.</w:t>
      </w:r>
    </w:p>
    <w:p>
      <w:pPr>
        <w:spacing w:before="160" w:after="0" w:line="240" w:lineRule="auto"/>
        <w:jc w:val="center"/>
        <w:pBdr>
          <w:top w:val="single" w:sz="8" w:space="1" w:color="C9C2B6"/>
        </w:pBdr>
      </w:pPr>
      <w:r>
        <w:rPr>
          <w:rFonts w:ascii="Calibri" w:hAnsi="Calibri" w:eastAsia="Calibri" w:cs="Calibri"/>
          <w:b w:val="0"/>
          <w:i w:val="0"/>
          <w:color w:val="4A5A68"/>
          <w:sz w:val="17"/>
        </w:rPr>
        <w:t xml:space="preserve">Portfolio and live project screens: </w:t>
      </w:r>
      <w:r>
        <w:rPr>
          <w:rFonts w:ascii="Calibri" w:hAnsi="Calibri" w:eastAsia="Calibri" w:cs="Calibri"/>
          <w:b/>
          <w:i w:val="0"/>
          <w:color w:val="12212E"/>
          <w:sz w:val="17"/>
        </w:rPr>
        <w:t>hassan-ghazali.vercel.app</w:t>
      </w:r>
    </w:p>
    <w:sectPr w:rsidR="00FC693F" w:rsidRPr="0006063C" w:rsidSect="00034616">
      <w:pgSz w:w="11906" w:h="16838"/>
      <w:pgMar w:top="567" w:right="737" w:bottom="45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