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79C3" w14:textId="5361FF6A" w:rsidR="00E1254E" w:rsidRPr="00E1254E" w:rsidRDefault="00E1254E" w:rsidP="00E125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254E">
        <w:rPr>
          <w:rFonts w:ascii="Times New Roman" w:hAnsi="Times New Roman" w:cs="Times New Roman"/>
          <w:b/>
          <w:bCs/>
          <w:sz w:val="28"/>
          <w:szCs w:val="28"/>
        </w:rPr>
        <w:t>Data Source Selection:</w:t>
      </w:r>
      <w:r w:rsidRPr="00E125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254E">
        <w:rPr>
          <w:rFonts w:ascii="Times New Roman" w:hAnsi="Times New Roman" w:cs="Times New Roman"/>
          <w:b/>
          <w:bCs/>
          <w:sz w:val="28"/>
          <w:szCs w:val="28"/>
        </w:rPr>
        <w:t xml:space="preserve">Weekly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Aggregated </w:t>
      </w:r>
      <w:proofErr w:type="spellStart"/>
      <w:r w:rsidRPr="00E1254E">
        <w:rPr>
          <w:rFonts w:ascii="Times New Roman" w:hAnsi="Times New Roman" w:cs="Times New Roman"/>
          <w:b/>
          <w:bCs/>
          <w:sz w:val="28"/>
          <w:szCs w:val="28"/>
        </w:rPr>
        <w:t>yfinance</w:t>
      </w:r>
      <w:proofErr w:type="spellEnd"/>
      <w:r w:rsidRPr="00E1254E">
        <w:rPr>
          <w:rFonts w:ascii="Times New Roman" w:hAnsi="Times New Roman" w:cs="Times New Roman"/>
          <w:b/>
          <w:bCs/>
          <w:sz w:val="28"/>
          <w:szCs w:val="28"/>
        </w:rPr>
        <w:t xml:space="preserve"> Prices vs. Monthly FRED Prices</w:t>
      </w:r>
    </w:p>
    <w:p w14:paraId="000A1D59" w14:textId="77777777" w:rsidR="00E1254E" w:rsidRPr="00E1254E" w:rsidRDefault="00E1254E" w:rsidP="00E1254E">
      <w:pPr>
        <w:jc w:val="center"/>
        <w:rPr>
          <w:rFonts w:ascii="Times New Roman" w:hAnsi="Times New Roman" w:cs="Times New Roman"/>
        </w:rPr>
      </w:pPr>
    </w:p>
    <w:p w14:paraId="32591BE6" w14:textId="686C81C7" w:rsidR="00602CDD" w:rsidRPr="00E1254E" w:rsidRDefault="00E1254E" w:rsidP="00E1254E">
      <w:p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  <w:b/>
          <w:bCs/>
        </w:rPr>
        <w:t>Purpose</w:t>
      </w:r>
      <w:r>
        <w:rPr>
          <w:rFonts w:ascii="Times New Roman" w:hAnsi="Times New Roman" w:cs="Times New Roman"/>
          <w:b/>
          <w:bCs/>
        </w:rPr>
        <w:t>:</w:t>
      </w:r>
      <w:r w:rsidRPr="00E125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Our</w:t>
      </w:r>
      <w:r w:rsidRPr="00E1254E">
        <w:rPr>
          <w:rFonts w:ascii="Times New Roman" w:hAnsi="Times New Roman" w:cs="Times New Roman"/>
        </w:rPr>
        <w:t xml:space="preserve"> project </w:t>
      </w:r>
      <w:r>
        <w:rPr>
          <w:rFonts w:ascii="Times New Roman" w:hAnsi="Times New Roman" w:cs="Times New Roman"/>
        </w:rPr>
        <w:t>requires</w:t>
      </w:r>
      <w:r w:rsidRPr="00E1254E">
        <w:rPr>
          <w:rFonts w:ascii="Times New Roman" w:hAnsi="Times New Roman" w:cs="Times New Roman"/>
        </w:rPr>
        <w:t xml:space="preserve"> weekly copper and iron ore prices</w:t>
      </w:r>
      <w:r>
        <w:rPr>
          <w:rFonts w:ascii="Times New Roman" w:hAnsi="Times New Roman" w:cs="Times New Roman"/>
        </w:rPr>
        <w:t xml:space="preserve"> and t</w:t>
      </w:r>
      <w:r w:rsidRPr="00E1254E">
        <w:rPr>
          <w:rFonts w:ascii="Times New Roman" w:hAnsi="Times New Roman" w:cs="Times New Roman"/>
        </w:rPr>
        <w:t xml:space="preserve">wo sources were available: monthly price series from FRED, and daily futures prices from </w:t>
      </w:r>
      <w:proofErr w:type="spellStart"/>
      <w:r w:rsidRPr="00E1254E">
        <w:rPr>
          <w:rFonts w:ascii="Times New Roman" w:hAnsi="Times New Roman" w:cs="Times New Roman"/>
        </w:rPr>
        <w:t>yfinance</w:t>
      </w:r>
      <w:proofErr w:type="spellEnd"/>
      <w:r w:rsidRPr="00E1254E">
        <w:rPr>
          <w:rFonts w:ascii="Times New Roman" w:hAnsi="Times New Roman" w:cs="Times New Roman"/>
        </w:rPr>
        <w:t xml:space="preserve">, which can be averaged to weekly values. </w:t>
      </w:r>
      <w:r>
        <w:rPr>
          <w:rFonts w:ascii="Times New Roman" w:hAnsi="Times New Roman" w:cs="Times New Roman"/>
        </w:rPr>
        <w:t>We</w:t>
      </w:r>
      <w:r w:rsidRPr="00E1254E">
        <w:rPr>
          <w:rFonts w:ascii="Times New Roman" w:hAnsi="Times New Roman" w:cs="Times New Roman"/>
        </w:rPr>
        <w:t xml:space="preserve"> tested whether the two sources agree closely enough that the more</w:t>
      </w:r>
      <w:r>
        <w:rPr>
          <w:rFonts w:ascii="Times New Roman" w:hAnsi="Times New Roman" w:cs="Times New Roman"/>
        </w:rPr>
        <w:t xml:space="preserve"> granular source</w:t>
      </w:r>
      <w:r w:rsidRPr="00E1254E">
        <w:rPr>
          <w:rFonts w:ascii="Times New Roman" w:hAnsi="Times New Roman" w:cs="Times New Roman"/>
        </w:rPr>
        <w:t xml:space="preserve"> can be used without </w:t>
      </w:r>
      <w:r>
        <w:rPr>
          <w:rFonts w:ascii="Times New Roman" w:hAnsi="Times New Roman" w:cs="Times New Roman"/>
        </w:rPr>
        <w:t>raising questions of credibility.</w:t>
      </w:r>
      <w:r w:rsidR="00602CDD">
        <w:rPr>
          <w:rFonts w:ascii="Times New Roman" w:hAnsi="Times New Roman" w:cs="Times New Roman"/>
        </w:rPr>
        <w:br/>
      </w:r>
    </w:p>
    <w:p w14:paraId="24E2C7FF" w14:textId="74104E85" w:rsidR="00E1254E" w:rsidRPr="00E1254E" w:rsidRDefault="00E1254E" w:rsidP="00E1254E">
      <w:p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  <w:b/>
          <w:bCs/>
        </w:rPr>
        <w:t>Method</w:t>
      </w:r>
      <w:r>
        <w:rPr>
          <w:rFonts w:ascii="Times New Roman" w:hAnsi="Times New Roman" w:cs="Times New Roman"/>
          <w:b/>
          <w:bCs/>
        </w:rPr>
        <w:t>:</w:t>
      </w:r>
      <w:r w:rsidR="00602CD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We</w:t>
      </w:r>
      <w:r w:rsidRPr="00E1254E">
        <w:rPr>
          <w:rFonts w:ascii="Times New Roman" w:hAnsi="Times New Roman" w:cs="Times New Roman"/>
        </w:rPr>
        <w:t xml:space="preserve"> converted the </w:t>
      </w:r>
      <w:proofErr w:type="spellStart"/>
      <w:r w:rsidRPr="00E1254E">
        <w:rPr>
          <w:rFonts w:ascii="Times New Roman" w:hAnsi="Times New Roman" w:cs="Times New Roman"/>
        </w:rPr>
        <w:t>yfinance</w:t>
      </w:r>
      <w:proofErr w:type="spellEnd"/>
      <w:r w:rsidRPr="00E1254E">
        <w:rPr>
          <w:rFonts w:ascii="Times New Roman" w:hAnsi="Times New Roman" w:cs="Times New Roman"/>
        </w:rPr>
        <w:t xml:space="preserve"> prices to the same unit as FRED (USD per metric ton) and averaged them to monthly values. </w:t>
      </w:r>
      <w:r>
        <w:rPr>
          <w:rFonts w:ascii="Times New Roman" w:hAnsi="Times New Roman" w:cs="Times New Roman"/>
        </w:rPr>
        <w:t>They were then compared</w:t>
      </w:r>
      <w:r w:rsidRPr="00E1254E">
        <w:rPr>
          <w:rFonts w:ascii="Times New Roman" w:hAnsi="Times New Roman" w:cs="Times New Roman"/>
        </w:rPr>
        <w:t xml:space="preserve"> with FRED for </w:t>
      </w:r>
      <w:r>
        <w:rPr>
          <w:rFonts w:ascii="Times New Roman" w:hAnsi="Times New Roman" w:cs="Times New Roman"/>
        </w:rPr>
        <w:t>a period of</w:t>
      </w:r>
      <w:r w:rsidRPr="00E1254E">
        <w:rPr>
          <w:rFonts w:ascii="Times New Roman" w:hAnsi="Times New Roman" w:cs="Times New Roman"/>
        </w:rPr>
        <w:t xml:space="preserve">139 months </w:t>
      </w:r>
      <w:r>
        <w:rPr>
          <w:rFonts w:ascii="Times New Roman" w:hAnsi="Times New Roman" w:cs="Times New Roman"/>
        </w:rPr>
        <w:t>(n = 139)</w:t>
      </w:r>
      <w:r w:rsidRPr="00E1254E">
        <w:rPr>
          <w:rFonts w:ascii="Times New Roman" w:hAnsi="Times New Roman" w:cs="Times New Roman"/>
        </w:rPr>
        <w:t>. A monthly comparison</w:t>
      </w:r>
      <w:r>
        <w:rPr>
          <w:rFonts w:ascii="Times New Roman" w:hAnsi="Times New Roman" w:cs="Times New Roman"/>
        </w:rPr>
        <w:t xml:space="preserve"> is better</w:t>
      </w:r>
      <w:r w:rsidRPr="00E1254E">
        <w:rPr>
          <w:rFonts w:ascii="Times New Roman" w:hAnsi="Times New Roman" w:cs="Times New Roman"/>
        </w:rPr>
        <w:t>, because FRED has no information within a month. Differences were measured on a log scale, so they can be read as approximate percentages. Four tests were used:</w:t>
      </w:r>
    </w:p>
    <w:p w14:paraId="2B1F45D3" w14:textId="28181B89" w:rsidR="00E1254E" w:rsidRPr="00E1254E" w:rsidRDefault="00E1254E" w:rsidP="00E125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  <w:b/>
          <w:bCs/>
        </w:rPr>
        <w:t>Paired t-test</w:t>
      </w:r>
      <w:r>
        <w:rPr>
          <w:rFonts w:ascii="Times New Roman" w:hAnsi="Times New Roman" w:cs="Times New Roman"/>
          <w:b/>
          <w:bCs/>
        </w:rPr>
        <w:t>:</w:t>
      </w:r>
      <w:r w:rsidRPr="00E1254E">
        <w:rPr>
          <w:rFonts w:ascii="Times New Roman" w:hAnsi="Times New Roman" w:cs="Times New Roman"/>
        </w:rPr>
        <w:t xml:space="preserve"> Both sources cover the same months, so each month</w:t>
      </w:r>
      <w:r>
        <w:rPr>
          <w:rFonts w:ascii="Times New Roman" w:hAnsi="Times New Roman" w:cs="Times New Roman"/>
        </w:rPr>
        <w:t>’</w:t>
      </w:r>
      <w:r w:rsidRPr="00E1254E">
        <w:rPr>
          <w:rFonts w:ascii="Times New Roman" w:hAnsi="Times New Roman" w:cs="Times New Roman"/>
        </w:rPr>
        <w:t xml:space="preserve">s gap is treated as one observation, and the test asks whether the average gap differs </w:t>
      </w:r>
      <w:r>
        <w:rPr>
          <w:rFonts w:ascii="Times New Roman" w:hAnsi="Times New Roman" w:cs="Times New Roman"/>
        </w:rPr>
        <w:t xml:space="preserve">significantly </w:t>
      </w:r>
      <w:r w:rsidRPr="00E1254E">
        <w:rPr>
          <w:rFonts w:ascii="Times New Roman" w:hAnsi="Times New Roman" w:cs="Times New Roman"/>
        </w:rPr>
        <w:t>from zero.</w:t>
      </w:r>
    </w:p>
    <w:p w14:paraId="69C66E5D" w14:textId="55C04B44" w:rsidR="00E1254E" w:rsidRPr="00E1254E" w:rsidRDefault="00E1254E" w:rsidP="00E125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  <w:b/>
          <w:bCs/>
        </w:rPr>
        <w:t>Wilcoxon signed-rank test</w:t>
      </w:r>
      <w:r>
        <w:rPr>
          <w:rFonts w:ascii="Times New Roman" w:hAnsi="Times New Roman" w:cs="Times New Roman"/>
          <w:b/>
          <w:bCs/>
        </w:rPr>
        <w:t>:</w:t>
      </w:r>
      <w:r w:rsidRPr="00E1254E">
        <w:rPr>
          <w:rFonts w:ascii="Times New Roman" w:hAnsi="Times New Roman" w:cs="Times New Roman"/>
        </w:rPr>
        <w:t xml:space="preserve"> This is a check that does not assume the gaps are normally distributed, which confirms the t-test result does not depend on that assumption.</w:t>
      </w:r>
    </w:p>
    <w:p w14:paraId="7C84E742" w14:textId="2A0894B0" w:rsidR="00E1254E" w:rsidRPr="00E1254E" w:rsidRDefault="00E1254E" w:rsidP="00E125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  <w:b/>
          <w:bCs/>
        </w:rPr>
        <w:t>Newey-West (HAC) robust test</w:t>
      </w:r>
      <w:r>
        <w:rPr>
          <w:rFonts w:ascii="Times New Roman" w:hAnsi="Times New Roman" w:cs="Times New Roman"/>
          <w:b/>
          <w:bCs/>
        </w:rPr>
        <w:t>:</w:t>
      </w:r>
      <w:r w:rsidRPr="00E1254E">
        <w:rPr>
          <w:rFonts w:ascii="Times New Roman" w:hAnsi="Times New Roman" w:cs="Times New Roman"/>
        </w:rPr>
        <w:t xml:space="preserve"> Commodity prices in consecutive months are closely related, which makes the standard t-test overstate its certainty</w:t>
      </w:r>
      <w:r>
        <w:rPr>
          <w:rFonts w:ascii="Times New Roman" w:hAnsi="Times New Roman" w:cs="Times New Roman"/>
        </w:rPr>
        <w:t xml:space="preserve"> due to high autocorrelation</w:t>
      </w:r>
      <w:r w:rsidRPr="00E1254E">
        <w:rPr>
          <w:rFonts w:ascii="Times New Roman" w:hAnsi="Times New Roman" w:cs="Times New Roman"/>
        </w:rPr>
        <w:t xml:space="preserve">. This test corrects for that and is </w:t>
      </w:r>
      <w:r>
        <w:rPr>
          <w:rFonts w:ascii="Times New Roman" w:hAnsi="Times New Roman" w:cs="Times New Roman"/>
        </w:rPr>
        <w:t>our</w:t>
      </w:r>
      <w:r w:rsidRPr="00E1254E">
        <w:rPr>
          <w:rFonts w:ascii="Times New Roman" w:hAnsi="Times New Roman" w:cs="Times New Roman"/>
        </w:rPr>
        <w:t xml:space="preserve"> primary test of significance at the 5% level.</w:t>
      </w:r>
    </w:p>
    <w:p w14:paraId="72F065A2" w14:textId="04A8B630" w:rsidR="00602CDD" w:rsidRPr="00602CDD" w:rsidRDefault="00E1254E" w:rsidP="00602C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  <w:b/>
          <w:bCs/>
        </w:rPr>
        <w:t>Equivalence test (TOST)</w:t>
      </w:r>
      <w:r>
        <w:rPr>
          <w:rFonts w:ascii="Times New Roman" w:hAnsi="Times New Roman" w:cs="Times New Roman"/>
          <w:b/>
          <w:bCs/>
        </w:rPr>
        <w:t>:</w:t>
      </w:r>
      <w:r w:rsidRPr="00E1254E">
        <w:rPr>
          <w:rFonts w:ascii="Times New Roman" w:hAnsi="Times New Roman" w:cs="Times New Roman"/>
        </w:rPr>
        <w:t xml:space="preserve"> Failing to find a difference does not prove two sources agree. TOST asks directly whether the average gap lies </w:t>
      </w:r>
      <w:proofErr w:type="gramStart"/>
      <w:r w:rsidRPr="00E1254E">
        <w:rPr>
          <w:rFonts w:ascii="Times New Roman" w:hAnsi="Times New Roman" w:cs="Times New Roman"/>
        </w:rPr>
        <w:t>within ±2</w:t>
      </w:r>
      <w:proofErr w:type="gramEnd"/>
      <w:r w:rsidRPr="00E1254E">
        <w:rPr>
          <w:rFonts w:ascii="Times New Roman" w:hAnsi="Times New Roman" w:cs="Times New Roman"/>
        </w:rPr>
        <w:t xml:space="preserve">%, which is the margin </w:t>
      </w:r>
      <w:r>
        <w:rPr>
          <w:rFonts w:ascii="Times New Roman" w:hAnsi="Times New Roman" w:cs="Times New Roman"/>
        </w:rPr>
        <w:t>we treat as practically</w:t>
      </w:r>
      <w:r w:rsidRPr="00E1254E">
        <w:rPr>
          <w:rFonts w:ascii="Times New Roman" w:hAnsi="Times New Roman" w:cs="Times New Roman"/>
        </w:rPr>
        <w:t xml:space="preserve"> negligible.</w:t>
      </w:r>
      <w:r w:rsidR="00602CDD">
        <w:rPr>
          <w:rFonts w:ascii="Times New Roman" w:hAnsi="Times New Roman" w:cs="Times New Roman"/>
        </w:rPr>
        <w:br/>
      </w:r>
    </w:p>
    <w:p w14:paraId="1368F1BD" w14:textId="77777777" w:rsidR="00E1254E" w:rsidRPr="00E1254E" w:rsidRDefault="00E1254E" w:rsidP="00E1254E">
      <w:p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  <w:b/>
          <w:bCs/>
        </w:rPr>
        <w:t>Results.</w:t>
      </w:r>
    </w:p>
    <w:p w14:paraId="3C0E94DC" w14:textId="77777777" w:rsidR="00E1254E" w:rsidRPr="00E1254E" w:rsidRDefault="00E1254E" w:rsidP="00E125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</w:rPr>
        <w:t>The two sources move almost identically, with correlations of 0.994 for copper and 0.997 for iron ore.</w:t>
      </w:r>
    </w:p>
    <w:p w14:paraId="1671946A" w14:textId="77777777" w:rsidR="00E1254E" w:rsidRPr="00E1254E" w:rsidRDefault="00E1254E" w:rsidP="00E125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</w:rPr>
        <w:t>For copper, the robust test finds no significant difference (p = 0.16). The average gap is under 1%. The plain t-test and Wilcoxon test flagged a difference (p = 0.002 and 0.008), but the plain t-test is overly sensitive here, which is why the robust version was used.</w:t>
      </w:r>
    </w:p>
    <w:p w14:paraId="1E576DD8" w14:textId="3991E9EA" w:rsidR="00E1254E" w:rsidRPr="00E1254E" w:rsidRDefault="00E1254E" w:rsidP="00E125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</w:rPr>
        <w:t>For iron ore, the robust test detects a difference (p = 0.007),</w:t>
      </w:r>
      <w:r>
        <w:rPr>
          <w:rFonts w:ascii="Times New Roman" w:hAnsi="Times New Roman" w:cs="Times New Roman"/>
        </w:rPr>
        <w:t xml:space="preserve"> </w:t>
      </w:r>
      <w:r w:rsidRPr="00E1254E">
        <w:rPr>
          <w:rFonts w:ascii="Times New Roman" w:hAnsi="Times New Roman" w:cs="Times New Roman"/>
        </w:rPr>
        <w:t xml:space="preserve">but </w:t>
      </w:r>
      <w:r>
        <w:rPr>
          <w:rFonts w:ascii="Times New Roman" w:hAnsi="Times New Roman" w:cs="Times New Roman"/>
        </w:rPr>
        <w:t xml:space="preserve">the difference between FRED and </w:t>
      </w:r>
      <w:proofErr w:type="spellStart"/>
      <w:r>
        <w:rPr>
          <w:rFonts w:ascii="Times New Roman" w:hAnsi="Times New Roman" w:cs="Times New Roman"/>
        </w:rPr>
        <w:t>yfinance</w:t>
      </w:r>
      <w:proofErr w:type="spellEnd"/>
      <w:r>
        <w:rPr>
          <w:rFonts w:ascii="Times New Roman" w:hAnsi="Times New Roman" w:cs="Times New Roman"/>
        </w:rPr>
        <w:t xml:space="preserve"> prices</w:t>
      </w:r>
      <w:r w:rsidRPr="00E1254E">
        <w:rPr>
          <w:rFonts w:ascii="Times New Roman" w:hAnsi="Times New Roman" w:cs="Times New Roman"/>
        </w:rPr>
        <w:t xml:space="preserve"> is only about 0.9%. </w:t>
      </w:r>
      <w:r>
        <w:rPr>
          <w:rFonts w:ascii="Times New Roman" w:hAnsi="Times New Roman" w:cs="Times New Roman"/>
        </w:rPr>
        <w:t>Though the gap is statistically significant, we believe that is due to its consistent presence month after month, and not due to any practical significance</w:t>
      </w:r>
      <w:r w:rsidRPr="00E1254E">
        <w:rPr>
          <w:rFonts w:ascii="Times New Roman" w:hAnsi="Times New Roman" w:cs="Times New Roman"/>
        </w:rPr>
        <w:t>.</w:t>
      </w:r>
    </w:p>
    <w:p w14:paraId="1B1DA7F3" w14:textId="25BBA1DC" w:rsidR="00E1254E" w:rsidRPr="00E1254E" w:rsidRDefault="00E1254E" w:rsidP="00E125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</w:rPr>
        <w:lastRenderedPageBreak/>
        <w:t>For both commodities, the equivalence test shows the average gap falls within the ±2% margin.</w:t>
      </w:r>
      <w:r w:rsidR="00602CDD">
        <w:rPr>
          <w:rFonts w:ascii="Times New Roman" w:hAnsi="Times New Roman" w:cs="Times New Roman"/>
        </w:rPr>
        <w:br/>
      </w:r>
    </w:p>
    <w:p w14:paraId="5BC0DCC2" w14:textId="74A7B5A5" w:rsidR="00E1254E" w:rsidRPr="00E1254E" w:rsidRDefault="00E1254E" w:rsidP="00E125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Reasons to Choose </w:t>
      </w:r>
      <w:proofErr w:type="spellStart"/>
      <w:r>
        <w:rPr>
          <w:rFonts w:ascii="Times New Roman" w:hAnsi="Times New Roman" w:cs="Times New Roman"/>
          <w:b/>
          <w:bCs/>
        </w:rPr>
        <w:t>Yfinance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10E1E342" w14:textId="77777777" w:rsidR="00E1254E" w:rsidRPr="00E1254E" w:rsidRDefault="00E1254E" w:rsidP="00E125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  <w:b/>
          <w:bCs/>
        </w:rPr>
        <w:t>The differences are small.</w:t>
      </w:r>
      <w:r w:rsidRPr="00E1254E">
        <w:rPr>
          <w:rFonts w:ascii="Times New Roman" w:hAnsi="Times New Roman" w:cs="Times New Roman"/>
        </w:rPr>
        <w:t xml:space="preserve"> A gap of about 1% is expected, because FRED reports a global benchmark price and </w:t>
      </w:r>
      <w:proofErr w:type="spellStart"/>
      <w:r w:rsidRPr="00E1254E">
        <w:rPr>
          <w:rFonts w:ascii="Times New Roman" w:hAnsi="Times New Roman" w:cs="Times New Roman"/>
        </w:rPr>
        <w:t>yfinance</w:t>
      </w:r>
      <w:proofErr w:type="spellEnd"/>
      <w:r w:rsidRPr="00E1254E">
        <w:rPr>
          <w:rFonts w:ascii="Times New Roman" w:hAnsi="Times New Roman" w:cs="Times New Roman"/>
        </w:rPr>
        <w:t xml:space="preserve"> reports exchange-traded futures prices. A steady gap like this does not change when prices rise or fall, so it has little effect on an analysis of price changes.</w:t>
      </w:r>
    </w:p>
    <w:p w14:paraId="44D81A37" w14:textId="14568520" w:rsidR="00E1254E" w:rsidRPr="00E1254E" w:rsidRDefault="00E1254E" w:rsidP="00E125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  <w:b/>
          <w:bCs/>
        </w:rPr>
        <w:t>Monthly data cannot give true weekly prices.</w:t>
      </w:r>
      <w:r w:rsidRPr="00E1254E">
        <w:rPr>
          <w:rFonts w:ascii="Times New Roman" w:hAnsi="Times New Roman" w:cs="Times New Roman"/>
        </w:rPr>
        <w:t xml:space="preserve"> Converting monthly values to weekly ones means repeating the same number for every week of the month, which removes all movement within the month. For copper, </w:t>
      </w:r>
      <w:proofErr w:type="spellStart"/>
      <w:r w:rsidRPr="00E1254E">
        <w:rPr>
          <w:rFonts w:ascii="Times New Roman" w:hAnsi="Times New Roman" w:cs="Times New Roman"/>
        </w:rPr>
        <w:t>yfinance</w:t>
      </w:r>
      <w:proofErr w:type="spellEnd"/>
      <w:r w:rsidRPr="00E1254E">
        <w:rPr>
          <w:rFonts w:ascii="Times New Roman" w:hAnsi="Times New Roman" w:cs="Times New Roman"/>
        </w:rPr>
        <w:t xml:space="preserve"> prices vary by about USD 180 per </w:t>
      </w:r>
      <w:proofErr w:type="spellStart"/>
      <w:r w:rsidRPr="00E1254E">
        <w:rPr>
          <w:rFonts w:ascii="Times New Roman" w:hAnsi="Times New Roman" w:cs="Times New Roman"/>
        </w:rPr>
        <w:t>tonne</w:t>
      </w:r>
      <w:proofErr w:type="spellEnd"/>
      <w:r w:rsidRPr="00E1254E">
        <w:rPr>
          <w:rFonts w:ascii="Times New Roman" w:hAnsi="Times New Roman" w:cs="Times New Roman"/>
        </w:rPr>
        <w:t xml:space="preserve"> within a typical month</w:t>
      </w:r>
      <w:r>
        <w:rPr>
          <w:rFonts w:ascii="Times New Roman" w:hAnsi="Times New Roman" w:cs="Times New Roman"/>
        </w:rPr>
        <w:t xml:space="preserve">. We believe the loss of granularity is a far bigger concern </w:t>
      </w:r>
      <w:proofErr w:type="gramStart"/>
      <w:r>
        <w:rPr>
          <w:rFonts w:ascii="Times New Roman" w:hAnsi="Times New Roman" w:cs="Times New Roman"/>
        </w:rPr>
        <w:t>that</w:t>
      </w:r>
      <w:proofErr w:type="gramEnd"/>
      <w:r>
        <w:rPr>
          <w:rFonts w:ascii="Times New Roman" w:hAnsi="Times New Roman" w:cs="Times New Roman"/>
        </w:rPr>
        <w:t xml:space="preserve"> a difference of 0.9% between the values of the two sources.</w:t>
      </w:r>
    </w:p>
    <w:p w14:paraId="31729582" w14:textId="59A2A3A2" w:rsidR="00E1254E" w:rsidRPr="00E1254E" w:rsidRDefault="00E1254E" w:rsidP="00E125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  <w:b/>
          <w:bCs/>
        </w:rPr>
        <w:t>Using one source keeps the data consistent.</w:t>
      </w:r>
    </w:p>
    <w:p w14:paraId="0C8C3A89" w14:textId="77777777" w:rsidR="00602CDD" w:rsidRDefault="00602CDD">
      <w:pPr>
        <w:rPr>
          <w:rFonts w:ascii="Times New Roman" w:hAnsi="Times New Roman" w:cs="Times New Roman"/>
          <w:b/>
          <w:bCs/>
        </w:rPr>
      </w:pPr>
    </w:p>
    <w:p w14:paraId="00521318" w14:textId="77777777" w:rsidR="00602CDD" w:rsidRDefault="00E1254E">
      <w:p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  <w:b/>
          <w:bCs/>
        </w:rPr>
        <w:t>Decision</w:t>
      </w:r>
      <w:r w:rsidR="00602CDD">
        <w:rPr>
          <w:rFonts w:ascii="Times New Roman" w:hAnsi="Times New Roman" w:cs="Times New Roman"/>
          <w:b/>
          <w:bCs/>
        </w:rPr>
        <w:t>:</w:t>
      </w:r>
    </w:p>
    <w:p w14:paraId="75390782" w14:textId="7B36CC8C" w:rsidR="00956FC2" w:rsidRPr="00E1254E" w:rsidRDefault="00E1254E">
      <w:pPr>
        <w:rPr>
          <w:rFonts w:ascii="Times New Roman" w:hAnsi="Times New Roman" w:cs="Times New Roman"/>
        </w:rPr>
      </w:pPr>
      <w:r w:rsidRPr="00E1254E">
        <w:rPr>
          <w:rFonts w:ascii="Times New Roman" w:hAnsi="Times New Roman" w:cs="Times New Roman"/>
        </w:rPr>
        <w:t xml:space="preserve">Weekly </w:t>
      </w:r>
      <w:r w:rsidR="00602CDD">
        <w:rPr>
          <w:rFonts w:ascii="Times New Roman" w:hAnsi="Times New Roman" w:cs="Times New Roman"/>
        </w:rPr>
        <w:t xml:space="preserve">aggregated </w:t>
      </w:r>
      <w:r w:rsidRPr="00E1254E">
        <w:rPr>
          <w:rFonts w:ascii="Times New Roman" w:hAnsi="Times New Roman" w:cs="Times New Roman"/>
        </w:rPr>
        <w:t xml:space="preserve">prices from </w:t>
      </w:r>
      <w:proofErr w:type="spellStart"/>
      <w:r w:rsidRPr="00E1254E">
        <w:rPr>
          <w:rFonts w:ascii="Times New Roman" w:hAnsi="Times New Roman" w:cs="Times New Roman"/>
        </w:rPr>
        <w:t>yfinance</w:t>
      </w:r>
      <w:proofErr w:type="spellEnd"/>
      <w:r w:rsidRPr="00E1254E">
        <w:rPr>
          <w:rFonts w:ascii="Times New Roman" w:hAnsi="Times New Roman" w:cs="Times New Roman"/>
        </w:rPr>
        <w:t xml:space="preserve"> are used for both commodities. For copper, this follows directly from the 5% rule, since the robust test found no significant difference. For iron ore,</w:t>
      </w:r>
      <w:r w:rsidR="00602CDD">
        <w:rPr>
          <w:rFonts w:ascii="Times New Roman" w:hAnsi="Times New Roman" w:cs="Times New Roman"/>
        </w:rPr>
        <w:t xml:space="preserve"> even though</w:t>
      </w:r>
      <w:r w:rsidRPr="00E1254E">
        <w:rPr>
          <w:rFonts w:ascii="Times New Roman" w:hAnsi="Times New Roman" w:cs="Times New Roman"/>
        </w:rPr>
        <w:t xml:space="preserve"> the 5% test flag</w:t>
      </w:r>
      <w:r w:rsidR="00602CDD">
        <w:rPr>
          <w:rFonts w:ascii="Times New Roman" w:hAnsi="Times New Roman" w:cs="Times New Roman"/>
        </w:rPr>
        <w:t>ged</w:t>
      </w:r>
      <w:r w:rsidRPr="00E1254E">
        <w:rPr>
          <w:rFonts w:ascii="Times New Roman" w:hAnsi="Times New Roman" w:cs="Times New Roman"/>
        </w:rPr>
        <w:t xml:space="preserve"> a difference, </w:t>
      </w:r>
      <w:r w:rsidR="00602CDD">
        <w:rPr>
          <w:rFonts w:ascii="Times New Roman" w:hAnsi="Times New Roman" w:cs="Times New Roman"/>
        </w:rPr>
        <w:t>we still chose</w:t>
      </w:r>
      <w:r w:rsidRPr="00E1254E">
        <w:rPr>
          <w:rFonts w:ascii="Times New Roman" w:hAnsi="Times New Roman" w:cs="Times New Roman"/>
        </w:rPr>
        <w:t xml:space="preserve"> yfinanc</w:t>
      </w:r>
      <w:proofErr w:type="spellStart"/>
      <w:r w:rsidRPr="00E1254E">
        <w:rPr>
          <w:rFonts w:ascii="Times New Roman" w:hAnsi="Times New Roman" w:cs="Times New Roman"/>
        </w:rPr>
        <w:t>e</w:t>
      </w:r>
      <w:proofErr w:type="spellEnd"/>
      <w:r w:rsidRPr="00E1254E">
        <w:rPr>
          <w:rFonts w:ascii="Times New Roman" w:hAnsi="Times New Roman" w:cs="Times New Roman"/>
        </w:rPr>
        <w:t xml:space="preserve"> because the difference is below 1%, falls within the equivalence margin, and </w:t>
      </w:r>
      <w:r w:rsidR="00602CDD">
        <w:rPr>
          <w:rFonts w:ascii="Times New Roman" w:hAnsi="Times New Roman" w:cs="Times New Roman"/>
        </w:rPr>
        <w:t xml:space="preserve">the loss of </w:t>
      </w:r>
      <w:r w:rsidRPr="00E1254E">
        <w:rPr>
          <w:rFonts w:ascii="Times New Roman" w:hAnsi="Times New Roman" w:cs="Times New Roman"/>
        </w:rPr>
        <w:t>weekly detail</w:t>
      </w:r>
      <w:r w:rsidR="00602CDD">
        <w:rPr>
          <w:rFonts w:ascii="Times New Roman" w:hAnsi="Times New Roman" w:cs="Times New Roman"/>
        </w:rPr>
        <w:t xml:space="preserve"> would be much more consequential to the accuracy of our Machine Learning model.</w:t>
      </w:r>
    </w:p>
    <w:sectPr w:rsidR="00956FC2" w:rsidRPr="00E12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1958"/>
    <w:multiLevelType w:val="multilevel"/>
    <w:tmpl w:val="E6C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5053B"/>
    <w:multiLevelType w:val="multilevel"/>
    <w:tmpl w:val="C708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D58DA"/>
    <w:multiLevelType w:val="multilevel"/>
    <w:tmpl w:val="B300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828466">
    <w:abstractNumId w:val="1"/>
  </w:num>
  <w:num w:numId="2" w16cid:durableId="1066147964">
    <w:abstractNumId w:val="0"/>
  </w:num>
  <w:num w:numId="3" w16cid:durableId="148908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C2"/>
    <w:rsid w:val="00602CDD"/>
    <w:rsid w:val="00956FC2"/>
    <w:rsid w:val="00C30B1A"/>
    <w:rsid w:val="00E1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CBFE1"/>
  <w15:chartTrackingRefBased/>
  <w15:docId w15:val="{6A5B10E2-4BEA-4BEA-8D35-FB4D1E636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Sarib Nisar</dc:creator>
  <cp:keywords/>
  <dc:description/>
  <cp:lastModifiedBy>Sarib Nisar</cp:lastModifiedBy>
  <cp:revision>2</cp:revision>
  <dcterms:created xsi:type="dcterms:W3CDTF">2026-10-04T08:52:00Z</dcterms:created>
  <dcterms:modified xsi:type="dcterms:W3CDTF">2026-10-04T09:05:00Z</dcterms:modified>
</cp:coreProperties>
</file>