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958B3" w14:textId="77777777" w:rsidR="005407BA" w:rsidRPr="005407BA" w:rsidRDefault="005407BA" w:rsidP="00D72F7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9497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12_Treasury_Cash_Management</w:t>
      </w:r>
      <w:bookmarkEnd w:id="0"/>
    </w:p>
    <w:p w14:paraId="3ED9E7CE" w14:textId="398B276F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3357E8" w:rsidRPr="003357E8" w14:paraId="474B25D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489E9AAF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07A1050B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3357E8" w:rsidRPr="003357E8" w14:paraId="55132B6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F6FDA6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266D95A9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3357E8" w:rsidRPr="003357E8" w14:paraId="6282F47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B74819B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1F9CEED4" w14:textId="54DA0902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t xml:space="preserve">12_Treasury_Cash_Management  </w:t>
            </w:r>
          </w:p>
        </w:tc>
      </w:tr>
      <w:tr w:rsidR="003357E8" w:rsidRPr="003357E8" w14:paraId="0EC1644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4EA1F1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34B7EB0F" w14:textId="6D84B96C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7114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12</w:t>
            </w:r>
          </w:p>
        </w:tc>
      </w:tr>
      <w:tr w:rsidR="003357E8" w:rsidRPr="003357E8" w14:paraId="7254BEE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310316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F50302A" w14:textId="73204152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12_Treasury_Cash_Management  </w:t>
            </w:r>
          </w:p>
        </w:tc>
      </w:tr>
      <w:tr w:rsidR="003357E8" w:rsidRPr="003357E8" w14:paraId="548AC7F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82CA9A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475C171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3357E8" w:rsidRPr="003357E8" w14:paraId="0778D84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B27411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BF95683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3357E8" w:rsidRPr="003357E8" w14:paraId="18E1DE4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20ECD5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4CE8C532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3357E8" w:rsidRPr="003357E8" w14:paraId="10D1C3A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198F88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6BA4154B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3357E8" w:rsidRPr="003357E8" w14:paraId="2E67AD2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4AA1D2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7C2EE72D" w14:textId="09C81024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CFO</w:t>
            </w:r>
          </w:p>
        </w:tc>
      </w:tr>
      <w:tr w:rsidR="003357E8" w:rsidRPr="003357E8" w14:paraId="227626F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6A51C3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3BCF8034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3357E8" w:rsidRPr="003357E8" w14:paraId="3C40715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9C227BA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187ADB6C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3357E8" w:rsidRPr="003357E8" w14:paraId="0CCA132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F48C570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75CB2151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3357E8" w:rsidRPr="003357E8" w14:paraId="0CEEAC2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4D2984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E3E73D7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3B4E9AEC" w14:textId="77777777" w:rsidR="003357E8" w:rsidRPr="003357E8" w:rsidRDefault="003357E8" w:rsidP="003357E8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19A3244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3357E8" w:rsidRPr="003357E8" w14:paraId="02DCB73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3872F13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425B39D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5683AFF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AABFB84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3357E8" w:rsidRPr="003357E8" w14:paraId="7057F2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E9984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76044E8B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1E46296D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4B0090D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78EC696D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3357E8" w:rsidRPr="003357E8" w14:paraId="4912B0AD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095830B" w14:textId="77777777" w:rsidR="003357E8" w:rsidRPr="003357E8" w:rsidRDefault="003357E8" w:rsidP="003357E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22D10DFF" w14:textId="77777777" w:rsidR="003357E8" w:rsidRPr="003357E8" w:rsidRDefault="003357E8" w:rsidP="003357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3357E8" w:rsidRPr="003357E8" w14:paraId="74D4C8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0A9CC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334EE5DB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357E8" w:rsidRPr="003357E8" w14:paraId="5987C22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0A29E8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7AF664D9" w14:textId="77777777" w:rsidR="003357E8" w:rsidRPr="003357E8" w:rsidRDefault="003357E8" w:rsidP="003357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357E8" w:rsidRPr="003357E8" w14:paraId="746FC6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14789" w14:textId="77777777" w:rsidR="003357E8" w:rsidRPr="003357E8" w:rsidRDefault="003357E8" w:rsidP="003357E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5923108" w14:textId="77777777" w:rsidR="003357E8" w:rsidRPr="003357E8" w:rsidRDefault="003357E8" w:rsidP="003357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357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F2726E7" w14:textId="77777777" w:rsidR="003357E8" w:rsidRPr="003357E8" w:rsidRDefault="003357E8" w:rsidP="003357E8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1C0C769D" w14:textId="77777777" w:rsidR="003357E8" w:rsidRPr="003357E8" w:rsidRDefault="003357E8" w:rsidP="003357E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357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52F20E8" w14:textId="77777777" w:rsidR="003357E8" w:rsidRPr="003357E8" w:rsidRDefault="003357E8" w:rsidP="003357E8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3357E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C0E1CC8" w14:textId="77777777" w:rsidR="003357E8" w:rsidRPr="003357E8" w:rsidRDefault="003357E8" w:rsidP="003357E8"/>
    <w:p w14:paraId="5FDE69FF" w14:textId="6472D67B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71ADC6D1" w14:textId="77777777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12727681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9B69261" w14:textId="052AE7FC" w:rsidR="003357E8" w:rsidRDefault="003357E8">
          <w:pPr>
            <w:pStyle w:val="TOCHeading"/>
          </w:pPr>
          <w:r>
            <w:t>Contents</w:t>
          </w:r>
        </w:p>
        <w:p w14:paraId="15B537F4" w14:textId="2D95F7A9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949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12_Treasury_Cash_Management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05A9D" w14:textId="6C6326FC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49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12.1 Treasury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241C" w14:textId="2BC6CC42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49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12.1.1 Treasury Organizational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0F4D" w14:textId="27F8B214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E19A" w14:textId="10D40CBE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0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12.2 Treasury Process Architecture (SIPOC)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A89D" w14:textId="4B559AEC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0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12.3 Core Treasury Processes (WBS-Coded)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E5671" w14:textId="65F778B2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0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 Cash Forecasting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0ADC" w14:textId="26B16E1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12.3.1.1 Monthly Cash Forecast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883A5" w14:textId="30A6EE0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12.3.1.2 Rolling 13-Week Cash Flow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3619" w14:textId="2C060A1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12.3.1.3 Variance Analysis vs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18F3" w14:textId="77F20F0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12.3.1.4 Scenario Stress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0123" w14:textId="3313DE45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0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73E7" w14:textId="4A02020D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0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 Bank Account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5D1B" w14:textId="351A8808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12.3.2.1 Bank Account Opening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95C5" w14:textId="4334CCF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12.3.2.2 Authorized Signatory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292E9" w14:textId="7210C5D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12.3.2.3 Online Banking Control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AE783" w14:textId="77BCF449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12.3.2.4 Bank Relationship Review (Annual)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05199" w14:textId="0D2E8F3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3F96" w14:textId="14F27C82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1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 Payment Authorization &amp; Disbursement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31A3" w14:textId="3B8A1B4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12.3.3.1 Payment Request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1361" w14:textId="774FC609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12.3.3.2 3-Way Matching (PO–Invoice–GRN)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4FEB" w14:textId="5B7BB43A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12.3.3.3 Approval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AE8D9" w14:textId="1818D71B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1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12.3.3.4 Bank Transfer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BE0C" w14:textId="178C56A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12.3.3.5 Payment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BDCE" w14:textId="543B932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Approval Limits Matrix (Example)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73F5" w14:textId="217D8F3D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2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 Investment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5BF6" w14:textId="6001170E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12.3.4.1 Surplus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1E408" w14:textId="041D583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12.3.4.2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5BD74" w14:textId="01891EC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12.3.4.3 Instrument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EDF8" w14:textId="3D122FAD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12.3.4.4 Board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33ECD" w14:textId="29E170FC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12.3.4.5 Performance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141D" w14:textId="5E86C2C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Approved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98DF9" w14:textId="4422610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2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Investment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89D0" w14:textId="1BA54E5C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3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 Debt &amp; Borrowing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BA9E2" w14:textId="554B7F91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12.3.5.1 Loan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11B39" w14:textId="127DA8EA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12.3.5.2 Bank Negotiation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DFE33" w14:textId="382AD5B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12.3.5.3 Board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AF9D" w14:textId="14C1E054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12.3.5.4 Covenant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6DFA5" w14:textId="4588E7A6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12.3.5.5 Repayment 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8CF7" w14:textId="155FCEA2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2B945" w14:textId="2C5A1C83" w:rsidR="003357E8" w:rsidRDefault="003357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953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 Foreign Exchange (FX) 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683B" w14:textId="0597F8A3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12.3.6.1 FX Exposure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62F1" w14:textId="18BC70C0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3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12.3.6.2 Hedging Strategy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9AAA5" w14:textId="3F63BDD7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12.3.6.3 Forward Contracts / Natural Hedging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2F6B" w14:textId="16FCDB6F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12.3.6.4 Monthly FX Position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BED8B" w14:textId="6E076562" w:rsidR="003357E8" w:rsidRDefault="003357E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9542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Risk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C6E2" w14:textId="449F1011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3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12.4 BPMN – Cash Disbursement Workflow (Narrative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C0B0" w14:textId="76FEBA53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4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12.5 RACI Matrix (Treasury Core Processes)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3120D" w14:textId="791FBEB5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5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12.6 Treasury Risk Register (Extract)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6F11" w14:textId="37A8244D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6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12.7 SAP / ERP Treasury Modules (If Applicable)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99B3" w14:textId="439FD4BE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7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12.8 Forms &amp; Templates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A1630" w14:textId="5FDF8823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8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12.9 Treasury KPIs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1DEB8" w14:textId="6711AF0A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49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12.10 Internal Controls Framework Alignment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A03EC" w14:textId="1F836E65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50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12.11 Board-Level Treasury Reporting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54EBA" w14:textId="708BE612" w:rsidR="003357E8" w:rsidRDefault="003357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9551" w:history="1">
            <w:r w:rsidRPr="00F6248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12.12 Treasury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3B07" w14:textId="42064251" w:rsidR="003357E8" w:rsidRDefault="003357E8">
          <w:r>
            <w:rPr>
              <w:b/>
              <w:bCs/>
              <w:noProof/>
            </w:rPr>
            <w:fldChar w:fldCharType="end"/>
          </w:r>
        </w:p>
      </w:sdtContent>
    </w:sdt>
    <w:p w14:paraId="52B43DCE" w14:textId="411F7E93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4438E9F0" w14:textId="77777777" w:rsidR="003357E8" w:rsidRDefault="003357E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2ECB14F" w14:textId="5D6D4690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L_0_12_Treasury_Cash_Management Policy &amp; Procedures Manual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(Aligned with COSO ERM, ISO 31000, IFRS, and corporate internal control best practices)</w:t>
      </w:r>
    </w:p>
    <w:p w14:paraId="4D5AD4DA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71BEC42">
          <v:rect id="_x0000_i1025" style="width:0;height:1.5pt" o:hralign="center" o:hrstd="t" o:hr="t" fillcolor="#a0a0a0" stroked="f"/>
        </w:pict>
      </w:r>
    </w:p>
    <w:p w14:paraId="30A48F0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59498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12.1 Treasury Governance Policy</w:t>
      </w:r>
      <w:bookmarkEnd w:id="1"/>
    </w:p>
    <w:p w14:paraId="340FFC99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Ensure effective liquidity management, financial risk control, banking governance, and capital protection.</w:t>
      </w:r>
    </w:p>
    <w:p w14:paraId="645A597D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Applies to all bank accounts, cash holdings, investments, borrowings, guarantees, and financial instruments of RAM.</w:t>
      </w:r>
    </w:p>
    <w:p w14:paraId="7927FD6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4360C9">
          <v:rect id="_x0000_i1026" style="width:0;height:1.5pt" o:hralign="center" o:hrstd="t" o:hr="t" fillcolor="#a0a0a0" stroked="f"/>
        </w:pict>
      </w:r>
    </w:p>
    <w:p w14:paraId="0E3249D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9499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12.1.1 Treasury Organizational Structure</w:t>
      </w:r>
      <w:bookmarkEnd w:id="2"/>
    </w:p>
    <w:p w14:paraId="3A469D4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950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Roles &amp; Responsibilities</w:t>
      </w:r>
      <w:bookmarkEnd w:id="3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023"/>
        <w:gridCol w:w="7062"/>
      </w:tblGrid>
      <w:tr w:rsidR="005407BA" w:rsidRPr="005407BA" w14:paraId="3BB25AB6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20CC280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7062" w:type="dxa"/>
            <w:shd w:val="clear" w:color="auto" w:fill="0E2841" w:themeFill="text2"/>
            <w:hideMark/>
          </w:tcPr>
          <w:p w14:paraId="7E8E7F30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5407BA" w:rsidRPr="005407BA" w14:paraId="511A633A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EBEC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062" w:type="dxa"/>
            <w:hideMark/>
          </w:tcPr>
          <w:p w14:paraId="1BF996C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treasury strategy &amp; risk limits</w:t>
            </w:r>
          </w:p>
        </w:tc>
      </w:tr>
      <w:tr w:rsidR="005407BA" w:rsidRPr="005407BA" w14:paraId="7FC758D8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D897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7062" w:type="dxa"/>
            <w:hideMark/>
          </w:tcPr>
          <w:p w14:paraId="2B6FEC4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oversight &amp; policy approval</w:t>
            </w:r>
          </w:p>
        </w:tc>
      </w:tr>
      <w:tr w:rsidR="005407BA" w:rsidRPr="005407BA" w14:paraId="345CCB3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85181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  <w:tc>
          <w:tcPr>
            <w:tcW w:w="7062" w:type="dxa"/>
            <w:hideMark/>
          </w:tcPr>
          <w:p w14:paraId="5D4B7F3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planning &amp; execution</w:t>
            </w:r>
          </w:p>
        </w:tc>
      </w:tr>
      <w:tr w:rsidR="005407BA" w:rsidRPr="005407BA" w14:paraId="10742870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EC82B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Officer</w:t>
            </w:r>
          </w:p>
        </w:tc>
        <w:tc>
          <w:tcPr>
            <w:tcW w:w="7062" w:type="dxa"/>
            <w:hideMark/>
          </w:tcPr>
          <w:p w14:paraId="1A60D91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 cash management</w:t>
            </w:r>
          </w:p>
        </w:tc>
      </w:tr>
      <w:tr w:rsidR="005407BA" w:rsidRPr="005407BA" w14:paraId="18EBD06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FFA32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7062" w:type="dxa"/>
            <w:hideMark/>
          </w:tcPr>
          <w:p w14:paraId="586E4221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assurance</w:t>
            </w:r>
          </w:p>
        </w:tc>
      </w:tr>
      <w:tr w:rsidR="005407BA" w:rsidRPr="005407BA" w14:paraId="5419E55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6757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Committee</w:t>
            </w:r>
          </w:p>
        </w:tc>
        <w:tc>
          <w:tcPr>
            <w:tcW w:w="7062" w:type="dxa"/>
            <w:hideMark/>
          </w:tcPr>
          <w:p w14:paraId="71F4B6E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financial risk exposure</w:t>
            </w:r>
          </w:p>
        </w:tc>
      </w:tr>
    </w:tbl>
    <w:p w14:paraId="007FBBE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E503CB">
          <v:rect id="_x0000_i1027" style="width:0;height:1.5pt" o:hralign="center" o:hrstd="t" o:hr="t" fillcolor="#a0a0a0" stroked="f"/>
        </w:pict>
      </w:r>
    </w:p>
    <w:p w14:paraId="3F5783F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59501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12.2 Treasury Process Architecture (SIPOC)</w:t>
      </w:r>
      <w:bookmarkEnd w:id="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1933"/>
        <w:gridCol w:w="2026"/>
        <w:gridCol w:w="2025"/>
        <w:gridCol w:w="1469"/>
      </w:tblGrid>
      <w:tr w:rsidR="005407BA" w:rsidRPr="005407BA" w14:paraId="498434FA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B6DD99F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0426D9F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F7443D3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A5AF867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EF85FE8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5407BA" w:rsidRPr="005407BA" w14:paraId="0CD1FD9D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131A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130B0E3E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inflow forecast</w:t>
            </w:r>
          </w:p>
        </w:tc>
        <w:tc>
          <w:tcPr>
            <w:tcW w:w="0" w:type="auto"/>
            <w:hideMark/>
          </w:tcPr>
          <w:p w14:paraId="2A2E1F1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Consolidate forecast</w:t>
            </w:r>
          </w:p>
        </w:tc>
        <w:tc>
          <w:tcPr>
            <w:tcW w:w="0" w:type="auto"/>
            <w:hideMark/>
          </w:tcPr>
          <w:p w14:paraId="466B8288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 report</w:t>
            </w:r>
          </w:p>
        </w:tc>
        <w:tc>
          <w:tcPr>
            <w:tcW w:w="0" w:type="auto"/>
            <w:hideMark/>
          </w:tcPr>
          <w:p w14:paraId="257B78B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5407BA" w:rsidRPr="005407BA" w14:paraId="4028EF8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B254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33D3272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schedule</w:t>
            </w:r>
          </w:p>
        </w:tc>
        <w:tc>
          <w:tcPr>
            <w:tcW w:w="0" w:type="auto"/>
            <w:hideMark/>
          </w:tcPr>
          <w:p w14:paraId="4692134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liquidity</w:t>
            </w:r>
          </w:p>
        </w:tc>
        <w:tc>
          <w:tcPr>
            <w:tcW w:w="0" w:type="auto"/>
            <w:hideMark/>
          </w:tcPr>
          <w:p w14:paraId="6CF989C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Weekly liquidity plan</w:t>
            </w:r>
          </w:p>
        </w:tc>
        <w:tc>
          <w:tcPr>
            <w:tcW w:w="0" w:type="auto"/>
            <w:hideMark/>
          </w:tcPr>
          <w:p w14:paraId="3C27064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5407BA" w:rsidRPr="005407BA" w14:paraId="5925C73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9825A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Banks</w:t>
            </w:r>
          </w:p>
        </w:tc>
        <w:tc>
          <w:tcPr>
            <w:tcW w:w="0" w:type="auto"/>
            <w:hideMark/>
          </w:tcPr>
          <w:p w14:paraId="398AAA0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statements</w:t>
            </w:r>
          </w:p>
        </w:tc>
        <w:tc>
          <w:tcPr>
            <w:tcW w:w="0" w:type="auto"/>
            <w:hideMark/>
          </w:tcPr>
          <w:p w14:paraId="17A8FD8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4913B02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recon report</w:t>
            </w:r>
          </w:p>
        </w:tc>
        <w:tc>
          <w:tcPr>
            <w:tcW w:w="0" w:type="auto"/>
            <w:hideMark/>
          </w:tcPr>
          <w:p w14:paraId="1359051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5407BA" w:rsidRPr="005407BA" w14:paraId="7210A097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8136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62ECED0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364EB9A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Capital allocation</w:t>
            </w:r>
          </w:p>
        </w:tc>
        <w:tc>
          <w:tcPr>
            <w:tcW w:w="0" w:type="auto"/>
            <w:hideMark/>
          </w:tcPr>
          <w:p w14:paraId="053522C6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decision</w:t>
            </w:r>
          </w:p>
        </w:tc>
        <w:tc>
          <w:tcPr>
            <w:tcW w:w="0" w:type="auto"/>
            <w:hideMark/>
          </w:tcPr>
          <w:p w14:paraId="6283B70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Shareholders</w:t>
            </w:r>
          </w:p>
        </w:tc>
      </w:tr>
    </w:tbl>
    <w:p w14:paraId="02EDAB08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CF577D">
          <v:rect id="_x0000_i1028" style="width:0;height:1.5pt" o:hralign="center" o:hrstd="t" o:hr="t" fillcolor="#a0a0a0" stroked="f"/>
        </w:pict>
      </w:r>
    </w:p>
    <w:p w14:paraId="72C7143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59502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12.3 Core Treasury Processes (WBS-Coded)</w:t>
      </w:r>
      <w:bookmarkEnd w:id="5"/>
    </w:p>
    <w:p w14:paraId="5A5F78AB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D5C40F5">
          <v:rect id="_x0000_i1029" style="width:0;height:1.5pt" o:hralign="center" o:hrstd="t" o:hr="t" fillcolor="#a0a0a0" stroked="f"/>
        </w:pict>
      </w:r>
    </w:p>
    <w:p w14:paraId="1BA51E40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9503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12.3.1 Cash Forecasting Process</w:t>
      </w:r>
      <w:bookmarkEnd w:id="6"/>
    </w:p>
    <w:p w14:paraId="288646D5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950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12.3.1.1 Monthly Cash Forecast Preparation</w:t>
      </w:r>
      <w:bookmarkEnd w:id="7"/>
    </w:p>
    <w:p w14:paraId="42581B1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5950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12.3.1.2 Rolling 13-Week Cash Flow Model</w:t>
      </w:r>
      <w:bookmarkEnd w:id="8"/>
    </w:p>
    <w:p w14:paraId="491426A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5950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12.3.1.3 Variance Analysis vs Actual</w:t>
      </w:r>
      <w:bookmarkEnd w:id="9"/>
    </w:p>
    <w:p w14:paraId="251BEB0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950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12.3.1.4 Scenario Stress Testing</w:t>
      </w:r>
      <w:bookmarkEnd w:id="10"/>
    </w:p>
    <w:p w14:paraId="3B151A6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950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</w:t>
      </w:r>
      <w:bookmarkEnd w:id="11"/>
    </w:p>
    <w:p w14:paraId="33A2C29A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 ≥ 90%</w:t>
      </w:r>
    </w:p>
    <w:p w14:paraId="061057FA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Coverage Ratio ≥ 1.2</w:t>
      </w:r>
    </w:p>
    <w:p w14:paraId="3C0BD6FB" w14:textId="77777777" w:rsidR="005407BA" w:rsidRPr="005407BA" w:rsidRDefault="005407BA" w:rsidP="005407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Variance ≤ 10%</w:t>
      </w:r>
    </w:p>
    <w:p w14:paraId="2D4327C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34DC16">
          <v:rect id="_x0000_i1030" style="width:0;height:1.5pt" o:hralign="center" o:hrstd="t" o:hr="t" fillcolor="#a0a0a0" stroked="f"/>
        </w:pict>
      </w:r>
    </w:p>
    <w:p w14:paraId="04592FB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159509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12.3.2 Bank Account Management</w:t>
      </w:r>
      <w:bookmarkEnd w:id="12"/>
    </w:p>
    <w:p w14:paraId="6C8965E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5951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12.3.2.1 Bank Account Opening Approval</w:t>
      </w:r>
      <w:bookmarkEnd w:id="13"/>
    </w:p>
    <w:p w14:paraId="6E1880D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951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12.3.2.2 Authorized Signatory Matrix</w:t>
      </w:r>
      <w:bookmarkEnd w:id="14"/>
    </w:p>
    <w:p w14:paraId="3D131A5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951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12.3.2.3 Online Banking Control Management</w:t>
      </w:r>
      <w:bookmarkEnd w:id="15"/>
    </w:p>
    <w:p w14:paraId="20E7111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951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12.3.2.4 Bank Relationship Review (Annual)</w:t>
      </w:r>
      <w:bookmarkEnd w:id="16"/>
    </w:p>
    <w:p w14:paraId="5B86844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951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  <w:bookmarkEnd w:id="17"/>
    </w:p>
    <w:p w14:paraId="528C8B9A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signature policy</w:t>
      </w:r>
    </w:p>
    <w:p w14:paraId="74D4728D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53B82BC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MFA banking access</w:t>
      </w:r>
    </w:p>
    <w:p w14:paraId="27133559" w14:textId="77777777" w:rsidR="005407BA" w:rsidRPr="005407BA" w:rsidRDefault="005407BA" w:rsidP="005407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reconciliation</w:t>
      </w:r>
    </w:p>
    <w:p w14:paraId="26F2630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EBECBD">
          <v:rect id="_x0000_i1031" style="width:0;height:1.5pt" o:hralign="center" o:hrstd="t" o:hr="t" fillcolor="#a0a0a0" stroked="f"/>
        </w:pict>
      </w:r>
    </w:p>
    <w:p w14:paraId="3BCD2F1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159515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12.3.3 Payment Authorization &amp; Disbursement</w:t>
      </w:r>
      <w:bookmarkEnd w:id="18"/>
    </w:p>
    <w:p w14:paraId="4994B71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9" w:name="_Toc22415951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12.3.3.1 Payment Request Submission</w:t>
      </w:r>
      <w:bookmarkEnd w:id="19"/>
    </w:p>
    <w:p w14:paraId="69409B2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15951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12.3.3.2 3-Way Matching (PO–Invoice–GRN)</w:t>
      </w:r>
      <w:bookmarkEnd w:id="20"/>
    </w:p>
    <w:p w14:paraId="6E8C66E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1" w:name="_Toc22415951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12.3.3.3 Approval Hierarchy</w:t>
      </w:r>
      <w:bookmarkEnd w:id="21"/>
    </w:p>
    <w:p w14:paraId="1B53A56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2" w:name="_Toc22415951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12.3.3.4 Bank Transfer Execution</w:t>
      </w:r>
      <w:bookmarkEnd w:id="22"/>
    </w:p>
    <w:p w14:paraId="72FDF86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5952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12.3.3.5 Payment Confirmation</w:t>
      </w:r>
      <w:bookmarkEnd w:id="23"/>
    </w:p>
    <w:p w14:paraId="14303F6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4" w:name="_Toc22415952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Approval Limits Matrix (Example)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3"/>
        <w:gridCol w:w="1889"/>
      </w:tblGrid>
      <w:tr w:rsidR="005407BA" w:rsidRPr="005407BA" w14:paraId="33589B18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FDD333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99C1183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5407BA" w:rsidRPr="005407BA" w14:paraId="4A18B1A8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2ACA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50,000</w:t>
            </w:r>
          </w:p>
        </w:tc>
        <w:tc>
          <w:tcPr>
            <w:tcW w:w="0" w:type="auto"/>
            <w:hideMark/>
          </w:tcPr>
          <w:p w14:paraId="3DE660B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</w:tr>
      <w:tr w:rsidR="005407BA" w:rsidRPr="005407BA" w14:paraId="4D0D3F7E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452D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50k–250k</w:t>
            </w:r>
          </w:p>
        </w:tc>
        <w:tc>
          <w:tcPr>
            <w:tcW w:w="0" w:type="auto"/>
            <w:hideMark/>
          </w:tcPr>
          <w:p w14:paraId="13CA257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5407BA" w:rsidRPr="005407BA" w14:paraId="02CFB5C5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9B41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250k</w:t>
            </w:r>
          </w:p>
        </w:tc>
        <w:tc>
          <w:tcPr>
            <w:tcW w:w="0" w:type="auto"/>
            <w:hideMark/>
          </w:tcPr>
          <w:p w14:paraId="768FB99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+ Board</w:t>
            </w:r>
          </w:p>
        </w:tc>
      </w:tr>
    </w:tbl>
    <w:p w14:paraId="757CE6DC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E60A11">
          <v:rect id="_x0000_i1032" style="width:0;height:1.5pt" o:hralign="center" o:hrstd="t" o:hr="t" fillcolor="#a0a0a0" stroked="f"/>
        </w:pict>
      </w:r>
    </w:p>
    <w:p w14:paraId="53B16AC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9522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12.3.4 Investment Management</w:t>
      </w:r>
      <w:bookmarkEnd w:id="25"/>
    </w:p>
    <w:p w14:paraId="585A319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6" w:name="_Toc22415952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12.3.4.1 Surplus Identification</w:t>
      </w:r>
      <w:bookmarkEnd w:id="26"/>
    </w:p>
    <w:p w14:paraId="172CDA1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7" w:name="_Toc22415952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12.3.4.2 Risk Assessment</w:t>
      </w:r>
      <w:bookmarkEnd w:id="27"/>
    </w:p>
    <w:p w14:paraId="2EB6E68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8" w:name="_Toc22415952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12.3.4.3 Instrument Selection</w:t>
      </w:r>
      <w:bookmarkEnd w:id="28"/>
    </w:p>
    <w:p w14:paraId="39B71B9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9" w:name="_Toc22415952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12.3.4.4 Board Approval</w:t>
      </w:r>
      <w:bookmarkEnd w:id="29"/>
    </w:p>
    <w:p w14:paraId="40AA596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0" w:name="_Toc224159527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12.3.4.5 Performance Monitoring</w:t>
      </w:r>
      <w:bookmarkEnd w:id="30"/>
    </w:p>
    <w:p w14:paraId="6235A82D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1" w:name="_Toc22415952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Approved Instruments</w:t>
      </w:r>
      <w:bookmarkEnd w:id="31"/>
    </w:p>
    <w:p w14:paraId="3F81B0AC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Deposits</w:t>
      </w:r>
    </w:p>
    <w:p w14:paraId="6D6386A8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Government Bonds</w:t>
      </w:r>
    </w:p>
    <w:p w14:paraId="1E31C282" w14:textId="77777777" w:rsidR="005407BA" w:rsidRPr="005407BA" w:rsidRDefault="005407BA" w:rsidP="005407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Low-risk Money Market Funds</w:t>
      </w:r>
    </w:p>
    <w:p w14:paraId="75FFC938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2" w:name="_Toc22415952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Investment KPIs</w:t>
      </w:r>
      <w:bookmarkEnd w:id="32"/>
    </w:p>
    <w:p w14:paraId="70D75AEF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ROI vs Benchmark</w:t>
      </w:r>
    </w:p>
    <w:p w14:paraId="10C86AC1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Preservation Rate</w:t>
      </w:r>
    </w:p>
    <w:p w14:paraId="73B41F30" w14:textId="77777777" w:rsidR="005407BA" w:rsidRPr="005407BA" w:rsidRDefault="005407BA" w:rsidP="005407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Risk Rating</w:t>
      </w:r>
    </w:p>
    <w:p w14:paraId="601D73AA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1D0E3C">
          <v:rect id="_x0000_i1033" style="width:0;height:1.5pt" o:hralign="center" o:hrstd="t" o:hr="t" fillcolor="#a0a0a0" stroked="f"/>
        </w:pict>
      </w:r>
    </w:p>
    <w:p w14:paraId="64EB2B1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59530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12.3.5 Debt &amp; Borrowing Management</w:t>
      </w:r>
      <w:bookmarkEnd w:id="33"/>
    </w:p>
    <w:p w14:paraId="2CE094C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4" w:name="_Toc22415953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12.3.5.1 Loan Assessment</w:t>
      </w:r>
      <w:bookmarkEnd w:id="34"/>
    </w:p>
    <w:p w14:paraId="3EB963F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5" w:name="_Toc22415953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12.3.5.2 Bank Negotiation</w:t>
      </w:r>
      <w:bookmarkEnd w:id="35"/>
    </w:p>
    <w:p w14:paraId="693C353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6" w:name="_Toc224159533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12.3.5.3 Board Approval</w:t>
      </w:r>
      <w:bookmarkEnd w:id="36"/>
    </w:p>
    <w:p w14:paraId="45D1A9C9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7" w:name="_Toc224159534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12.3.5.4 Covenant Monitoring</w:t>
      </w:r>
      <w:bookmarkEnd w:id="37"/>
    </w:p>
    <w:p w14:paraId="176B701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8" w:name="_Toc224159535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12.3.5.5 Repayment Scheduling</w:t>
      </w:r>
      <w:bookmarkEnd w:id="38"/>
    </w:p>
    <w:p w14:paraId="0FB7132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9" w:name="_Toc224159536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</w:t>
      </w:r>
      <w:bookmarkEnd w:id="39"/>
    </w:p>
    <w:p w14:paraId="7D672E09" w14:textId="77777777" w:rsidR="005407BA" w:rsidRPr="005407BA" w:rsidRDefault="005407BA" w:rsidP="005407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Debt Service Coverage Ratio (DSCR) ≥ 1.5</w:t>
      </w:r>
    </w:p>
    <w:p w14:paraId="7A5E122B" w14:textId="77777777" w:rsidR="005407BA" w:rsidRPr="005407BA" w:rsidRDefault="005407BA" w:rsidP="005407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Interest Coverage Ratio ≥ 3.0</w:t>
      </w:r>
    </w:p>
    <w:p w14:paraId="05EBE20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B7E863">
          <v:rect id="_x0000_i1034" style="width:0;height:1.5pt" o:hralign="center" o:hrstd="t" o:hr="t" fillcolor="#a0a0a0" stroked="f"/>
        </w:pict>
      </w:r>
    </w:p>
    <w:p w14:paraId="454BCBE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59537"/>
      <w:r w:rsidRPr="005407B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12.3.6 Foreign Exchange (FX) Risk Management</w:t>
      </w:r>
      <w:bookmarkEnd w:id="40"/>
    </w:p>
    <w:p w14:paraId="07D9A207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1" w:name="_Toc224159538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12.3.6.1 FX Exposure Identification</w:t>
      </w:r>
      <w:bookmarkEnd w:id="41"/>
    </w:p>
    <w:p w14:paraId="4329A2DC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2" w:name="_Toc224159539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12.3.6.2 Hedging Strategy Approval</w:t>
      </w:r>
      <w:bookmarkEnd w:id="42"/>
    </w:p>
    <w:p w14:paraId="2F59B43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3" w:name="_Toc224159540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12.3.6.3 Forward Contracts / Natural Hedging</w:t>
      </w:r>
      <w:bookmarkEnd w:id="43"/>
    </w:p>
    <w:p w14:paraId="1F63FAE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4" w:name="_Toc224159541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12.3.6.4 Monthly FX Position Reporting</w:t>
      </w:r>
      <w:bookmarkEnd w:id="44"/>
    </w:p>
    <w:p w14:paraId="599D1D9F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5" w:name="_Toc224159542"/>
      <w:r w:rsidRPr="005407B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Risk Controls</w:t>
      </w:r>
      <w:bookmarkEnd w:id="45"/>
    </w:p>
    <w:p w14:paraId="7B865551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Open position limits</w:t>
      </w:r>
    </w:p>
    <w:p w14:paraId="6B840E97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Counterparty exposure limits</w:t>
      </w:r>
    </w:p>
    <w:p w14:paraId="4430B4F6" w14:textId="77777777" w:rsidR="005407BA" w:rsidRPr="005407BA" w:rsidRDefault="005407BA" w:rsidP="005407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Hedge effectiveness testing</w:t>
      </w:r>
    </w:p>
    <w:p w14:paraId="1B9B0FD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95B20F0">
          <v:rect id="_x0000_i1035" style="width:0;height:1.5pt" o:hralign="center" o:hrstd="t" o:hr="t" fillcolor="#a0a0a0" stroked="f"/>
        </w:pict>
      </w:r>
    </w:p>
    <w:p w14:paraId="26BAA596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6" w:name="_Toc224159543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12.4 BPMN – Cash Disbursement Workflow (Narrative Flow)</w:t>
      </w:r>
      <w:bookmarkEnd w:id="46"/>
    </w:p>
    <w:p w14:paraId="616F2B1B" w14:textId="77777777" w:rsidR="005407BA" w:rsidRPr="00D72F77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Start → Payment Request → Budget Check → 3-Way Match → Approval Workflow → Bank Transfer → Confirmation → Accounting Entry → Reconciliation → End</w:t>
      </w:r>
    </w:p>
    <w:p w14:paraId="00D58CD2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(Control gates at budget validation and approval hierarchy)</w:t>
      </w:r>
    </w:p>
    <w:p w14:paraId="1B87F7E2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0B8483">
          <v:rect id="_x0000_i1036" style="width:0;height:1.5pt" o:hralign="center" o:hrstd="t" o:hr="t" fillcolor="#a0a0a0" stroked="f"/>
        </w:pict>
      </w:r>
    </w:p>
    <w:p w14:paraId="4A3D574B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7" w:name="_Toc224159544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12.5 RACI Matrix (Treasury Core Processes)</w:t>
      </w:r>
      <w:bookmarkEnd w:id="4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857"/>
        <w:gridCol w:w="737"/>
        <w:gridCol w:w="723"/>
        <w:gridCol w:w="2023"/>
        <w:gridCol w:w="1956"/>
        <w:gridCol w:w="803"/>
      </w:tblGrid>
      <w:tr w:rsidR="005407BA" w:rsidRPr="005407BA" w14:paraId="7281E89D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E4AB472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2F953A2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20A15A4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7ECF95D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9274BE2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3971AE9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Officer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6F00F25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  <w:tr w:rsidR="005407BA" w:rsidRPr="005407BA" w14:paraId="36DEE99E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5B7B5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  <w:tc>
          <w:tcPr>
            <w:tcW w:w="0" w:type="auto"/>
            <w:hideMark/>
          </w:tcPr>
          <w:p w14:paraId="4825918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44C4B0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DE7D9E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29E9AB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9A2B36D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CA3EF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20DE77A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522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Mgmt</w:t>
            </w:r>
          </w:p>
        </w:tc>
        <w:tc>
          <w:tcPr>
            <w:tcW w:w="0" w:type="auto"/>
            <w:hideMark/>
          </w:tcPr>
          <w:p w14:paraId="5FF382E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BF1B83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34660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C3AEAC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B4E35D3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273D5D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39E1D8F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071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Payments</w:t>
            </w:r>
          </w:p>
        </w:tc>
        <w:tc>
          <w:tcPr>
            <w:tcW w:w="0" w:type="auto"/>
            <w:hideMark/>
          </w:tcPr>
          <w:p w14:paraId="5329219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BFAC23F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FAD8A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B5682E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0E93BB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EA4230F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46A23362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DE98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Investments</w:t>
            </w:r>
          </w:p>
        </w:tc>
        <w:tc>
          <w:tcPr>
            <w:tcW w:w="0" w:type="auto"/>
            <w:hideMark/>
          </w:tcPr>
          <w:p w14:paraId="5005B44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E2749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B9EB7EA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30272A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F5916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AD774A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18C2F472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A09D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Borrowing</w:t>
            </w:r>
          </w:p>
        </w:tc>
        <w:tc>
          <w:tcPr>
            <w:tcW w:w="0" w:type="auto"/>
            <w:hideMark/>
          </w:tcPr>
          <w:p w14:paraId="4B789C1A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D097C3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FEF43F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90F297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5B729DB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ECD65B1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5407BA" w:rsidRPr="005407BA" w14:paraId="63FD896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8754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Mgmt</w:t>
            </w:r>
          </w:p>
        </w:tc>
        <w:tc>
          <w:tcPr>
            <w:tcW w:w="0" w:type="auto"/>
            <w:hideMark/>
          </w:tcPr>
          <w:p w14:paraId="4D282A04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8E0B3A5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F5892C2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4032A2C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87579A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DC9DBA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</w:tbl>
    <w:p w14:paraId="108C7961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78192C9E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E74998">
          <v:rect id="_x0000_i1037" style="width:0;height:1.5pt" o:hralign="center" o:hrstd="t" o:hr="t" fillcolor="#a0a0a0" stroked="f"/>
        </w:pict>
      </w:r>
    </w:p>
    <w:p w14:paraId="78D193F1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8" w:name="_Toc224159545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12.6 Treasury Risk Register (Extract)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0"/>
        <w:gridCol w:w="1030"/>
        <w:gridCol w:w="1916"/>
        <w:gridCol w:w="3449"/>
      </w:tblGrid>
      <w:tr w:rsidR="005407BA" w:rsidRPr="005407BA" w14:paraId="65CB878D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B259025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B179E35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41D04AA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3449" w:type="dxa"/>
            <w:shd w:val="clear" w:color="auto" w:fill="0E2841" w:themeFill="text2"/>
            <w:hideMark/>
          </w:tcPr>
          <w:p w14:paraId="0848A416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Residual Risk</w:t>
            </w:r>
          </w:p>
        </w:tc>
      </w:tr>
      <w:tr w:rsidR="005407BA" w:rsidRPr="005407BA" w14:paraId="572EECE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C28D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shortage</w:t>
            </w:r>
          </w:p>
        </w:tc>
        <w:tc>
          <w:tcPr>
            <w:tcW w:w="0" w:type="auto"/>
            <w:hideMark/>
          </w:tcPr>
          <w:p w14:paraId="6F572979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DDF0CB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Rolling forecast</w:t>
            </w:r>
          </w:p>
        </w:tc>
        <w:tc>
          <w:tcPr>
            <w:tcW w:w="3449" w:type="dxa"/>
            <w:hideMark/>
          </w:tcPr>
          <w:p w14:paraId="70F73812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  <w:tr w:rsidR="005407BA" w:rsidRPr="005407BA" w14:paraId="22954183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3E03E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payment</w:t>
            </w:r>
          </w:p>
        </w:tc>
        <w:tc>
          <w:tcPr>
            <w:tcW w:w="0" w:type="auto"/>
            <w:hideMark/>
          </w:tcPr>
          <w:p w14:paraId="4CFE8171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5AB89A80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control</w:t>
            </w:r>
          </w:p>
        </w:tc>
        <w:tc>
          <w:tcPr>
            <w:tcW w:w="3449" w:type="dxa"/>
            <w:hideMark/>
          </w:tcPr>
          <w:p w14:paraId="770C0128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</w:tr>
      <w:tr w:rsidR="005407BA" w:rsidRPr="005407BA" w14:paraId="3199502B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EFA4F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volatility</w:t>
            </w:r>
          </w:p>
        </w:tc>
        <w:tc>
          <w:tcPr>
            <w:tcW w:w="0" w:type="auto"/>
            <w:hideMark/>
          </w:tcPr>
          <w:p w14:paraId="1AD579A0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0AA7A93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Hedging</w:t>
            </w:r>
          </w:p>
        </w:tc>
        <w:tc>
          <w:tcPr>
            <w:tcW w:w="3449" w:type="dxa"/>
            <w:hideMark/>
          </w:tcPr>
          <w:p w14:paraId="5D12B43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  <w:tr w:rsidR="005407BA" w:rsidRPr="005407BA" w14:paraId="39417B46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54A7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failure</w:t>
            </w:r>
          </w:p>
        </w:tc>
        <w:tc>
          <w:tcPr>
            <w:tcW w:w="0" w:type="auto"/>
            <w:hideMark/>
          </w:tcPr>
          <w:p w14:paraId="1D260CE6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57C99557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Diversified banks</w:t>
            </w:r>
          </w:p>
        </w:tc>
        <w:tc>
          <w:tcPr>
            <w:tcW w:w="3449" w:type="dxa"/>
            <w:hideMark/>
          </w:tcPr>
          <w:p w14:paraId="6B7316E0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</w:tr>
    </w:tbl>
    <w:p w14:paraId="2022F57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FF01F2">
          <v:rect id="_x0000_i1038" style="width:0;height:1.5pt" o:hralign="center" o:hrstd="t" o:hr="t" fillcolor="#a0a0a0" stroked="f"/>
        </w:pict>
      </w:r>
    </w:p>
    <w:p w14:paraId="783073B4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9" w:name="_Toc224159546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12.7 SAP / ERP Treasury Modules (If Applicable)</w:t>
      </w:r>
      <w:bookmarkEnd w:id="49"/>
    </w:p>
    <w:p w14:paraId="75D3C28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Positioning Dashboard</w:t>
      </w:r>
    </w:p>
    <w:p w14:paraId="57DB159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Automatic Bank Reconciliation</w:t>
      </w:r>
    </w:p>
    <w:p w14:paraId="0AD89D53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Run Workflow</w:t>
      </w:r>
    </w:p>
    <w:p w14:paraId="33182D9A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Tracking</w:t>
      </w:r>
    </w:p>
    <w:p w14:paraId="419A4C7B" w14:textId="77777777" w:rsidR="005407BA" w:rsidRPr="005407BA" w:rsidRDefault="005407BA" w:rsidP="005407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Portfolio Monitoring</w:t>
      </w:r>
    </w:p>
    <w:p w14:paraId="5774D4DD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4FA5D76">
          <v:rect id="_x0000_i1039" style="width:0;height:1.5pt" o:hralign="center" o:hrstd="t" o:hr="t" fillcolor="#a0a0a0" stroked="f"/>
        </w:pict>
      </w:r>
    </w:p>
    <w:p w14:paraId="3816F562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59547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12.8 Forms &amp; Templates Structure</w:t>
      </w:r>
      <w:bookmarkEnd w:id="5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542"/>
      </w:tblGrid>
      <w:tr w:rsidR="005407BA" w:rsidRPr="005407BA" w14:paraId="0924F5FB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3D074EF" w14:textId="77777777" w:rsidR="005407BA" w:rsidRPr="005407BA" w:rsidRDefault="005407BA" w:rsidP="005407B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542" w:type="dxa"/>
            <w:shd w:val="clear" w:color="auto" w:fill="0E2841" w:themeFill="text2"/>
            <w:hideMark/>
          </w:tcPr>
          <w:p w14:paraId="4F22E7D7" w14:textId="77777777" w:rsidR="005407BA" w:rsidRPr="005407BA" w:rsidRDefault="005407BA" w:rsidP="005407B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5407BA" w:rsidRPr="005407BA" w14:paraId="0A401979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D4D9C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F-12-01</w:t>
            </w:r>
          </w:p>
        </w:tc>
        <w:tc>
          <w:tcPr>
            <w:tcW w:w="7542" w:type="dxa"/>
            <w:hideMark/>
          </w:tcPr>
          <w:p w14:paraId="3597590D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 Template</w:t>
            </w:r>
          </w:p>
        </w:tc>
      </w:tr>
      <w:tr w:rsidR="005407BA" w:rsidRPr="005407BA" w14:paraId="29248D84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DF0F3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F-12-02</w:t>
            </w:r>
          </w:p>
        </w:tc>
        <w:tc>
          <w:tcPr>
            <w:tcW w:w="7542" w:type="dxa"/>
            <w:hideMark/>
          </w:tcPr>
          <w:p w14:paraId="0FB18AB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Account Opening Form</w:t>
            </w:r>
          </w:p>
        </w:tc>
      </w:tr>
      <w:tr w:rsidR="005407BA" w:rsidRPr="005407BA" w14:paraId="0A6A3EC8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5C968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F-12-03</w:t>
            </w:r>
          </w:p>
        </w:tc>
        <w:tc>
          <w:tcPr>
            <w:tcW w:w="7542" w:type="dxa"/>
            <w:hideMark/>
          </w:tcPr>
          <w:p w14:paraId="481C8D6C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Authorized Signatory Matrix</w:t>
            </w:r>
          </w:p>
        </w:tc>
      </w:tr>
      <w:tr w:rsidR="005407BA" w:rsidRPr="005407BA" w14:paraId="566A950C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72A44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F-12-04</w:t>
            </w:r>
          </w:p>
        </w:tc>
        <w:tc>
          <w:tcPr>
            <w:tcW w:w="7542" w:type="dxa"/>
            <w:hideMark/>
          </w:tcPr>
          <w:p w14:paraId="2D1D419B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Request Form</w:t>
            </w:r>
          </w:p>
        </w:tc>
      </w:tr>
      <w:tr w:rsidR="005407BA" w:rsidRPr="005407BA" w14:paraId="5630E54E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4E0F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F-12-05</w:t>
            </w:r>
          </w:p>
        </w:tc>
        <w:tc>
          <w:tcPr>
            <w:tcW w:w="7542" w:type="dxa"/>
            <w:hideMark/>
          </w:tcPr>
          <w:p w14:paraId="549794B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Evaluation Sheet</w:t>
            </w:r>
          </w:p>
        </w:tc>
      </w:tr>
      <w:tr w:rsidR="005407BA" w:rsidRPr="005407BA" w14:paraId="5185BB09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9BD59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F-12-06</w:t>
            </w:r>
          </w:p>
        </w:tc>
        <w:tc>
          <w:tcPr>
            <w:tcW w:w="7542" w:type="dxa"/>
            <w:hideMark/>
          </w:tcPr>
          <w:p w14:paraId="3841DB45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Loan Evaluation &amp; Covenant Tracker</w:t>
            </w:r>
          </w:p>
        </w:tc>
      </w:tr>
      <w:tr w:rsidR="005407BA" w:rsidRPr="005407BA" w14:paraId="218EDDF4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5215D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F-12-07</w:t>
            </w:r>
          </w:p>
        </w:tc>
        <w:tc>
          <w:tcPr>
            <w:tcW w:w="7542" w:type="dxa"/>
            <w:hideMark/>
          </w:tcPr>
          <w:p w14:paraId="4CBD9F23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FX Exposure Report</w:t>
            </w:r>
          </w:p>
        </w:tc>
      </w:tr>
      <w:tr w:rsidR="005407BA" w:rsidRPr="005407BA" w14:paraId="21127BDE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5A420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F-12-08</w:t>
            </w:r>
          </w:p>
        </w:tc>
        <w:tc>
          <w:tcPr>
            <w:tcW w:w="7542" w:type="dxa"/>
            <w:hideMark/>
          </w:tcPr>
          <w:p w14:paraId="04D601DF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Weekly Liquidity Dashboard</w:t>
            </w:r>
          </w:p>
        </w:tc>
      </w:tr>
    </w:tbl>
    <w:p w14:paraId="5D26A6EE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3E0225A">
          <v:rect id="_x0000_i1040" style="width:0;height:1.5pt" o:hralign="center" o:hrstd="t" o:hr="t" fillcolor="#a0a0a0" stroked="f"/>
        </w:pict>
      </w:r>
    </w:p>
    <w:p w14:paraId="2EDEEA9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59548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12.9 Treasury KPIs Dashboard</w:t>
      </w:r>
      <w:bookmarkEnd w:id="51"/>
    </w:p>
    <w:p w14:paraId="38DB6BA4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Daily Cash Position</w:t>
      </w:r>
    </w:p>
    <w:p w14:paraId="54BD4DEA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Ratio</w:t>
      </w:r>
    </w:p>
    <w:p w14:paraId="7D62F3F4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Conversion Cycle</w:t>
      </w:r>
    </w:p>
    <w:p w14:paraId="5835D1B3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</w:t>
      </w:r>
    </w:p>
    <w:p w14:paraId="23BA95D3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of Funds</w:t>
      </w:r>
    </w:p>
    <w:p w14:paraId="4812724E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Yield</w:t>
      </w:r>
    </w:p>
    <w:p w14:paraId="06B7EC16" w14:textId="77777777" w:rsidR="005407BA" w:rsidRPr="005407BA" w:rsidRDefault="005407BA" w:rsidP="005407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Fees Optimization Rate</w:t>
      </w:r>
    </w:p>
    <w:p w14:paraId="58E8C1FC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92B029">
          <v:rect id="_x0000_i1041" style="width:0;height:1.5pt" o:hralign="center" o:hrstd="t" o:hr="t" fillcolor="#a0a0a0" stroked="f"/>
        </w:pict>
      </w:r>
    </w:p>
    <w:p w14:paraId="7466D103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59549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12.10 Internal Controls Framework Alignment</w:t>
      </w:r>
      <w:bookmarkEnd w:id="52"/>
    </w:p>
    <w:p w14:paraId="276D5295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2805E69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056BD4C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31000 Risk Management</w:t>
      </w:r>
    </w:p>
    <w:p w14:paraId="14CE5FF6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IFRS 7 (Financial Instruments Disclosures)</w:t>
      </w:r>
    </w:p>
    <w:p w14:paraId="4C442467" w14:textId="77777777" w:rsidR="005407BA" w:rsidRPr="005407BA" w:rsidRDefault="005407BA" w:rsidP="005407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IFRS 9 (Financial Instruments Measurement)</w:t>
      </w:r>
    </w:p>
    <w:p w14:paraId="6D355A8F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7CEA17">
          <v:rect id="_x0000_i1042" style="width:0;height:1.5pt" o:hralign="center" o:hrstd="t" o:hr="t" fillcolor="#a0a0a0" stroked="f"/>
        </w:pict>
      </w:r>
    </w:p>
    <w:p w14:paraId="32E0034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3" w:name="_Toc224159550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12.11 Board-Level Treasury Reporting Pack</w:t>
      </w:r>
      <w:bookmarkEnd w:id="53"/>
    </w:p>
    <w:p w14:paraId="56EB9BC7" w14:textId="77777777" w:rsidR="005407BA" w:rsidRPr="005407BA" w:rsidRDefault="005407BA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Includes:</w:t>
      </w:r>
    </w:p>
    <w:p w14:paraId="27C41655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Position Summary</w:t>
      </w:r>
    </w:p>
    <w:p w14:paraId="28998A14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13-Week Forecast</w:t>
      </w:r>
    </w:p>
    <w:p w14:paraId="2552FAE2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Portfolio Status</w:t>
      </w:r>
    </w:p>
    <w:p w14:paraId="7B6F6CDD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Debt &amp; Covenant Compliance</w:t>
      </w:r>
    </w:p>
    <w:p w14:paraId="7CB06666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Report</w:t>
      </w:r>
    </w:p>
    <w:p w14:paraId="16554AAC" w14:textId="77777777" w:rsidR="005407BA" w:rsidRPr="005407BA" w:rsidRDefault="005407BA" w:rsidP="005407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07B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Treasury Risk Dashboard</w:t>
      </w:r>
    </w:p>
    <w:p w14:paraId="611E6673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2D3BFD">
          <v:rect id="_x0000_i1043" style="width:0;height:1.5pt" o:hralign="center" o:hrstd="t" o:hr="t" fillcolor="#a0a0a0" stroked="f"/>
        </w:pict>
      </w:r>
    </w:p>
    <w:p w14:paraId="664D2BEE" w14:textId="77777777" w:rsidR="005407BA" w:rsidRPr="005407BA" w:rsidRDefault="005407BA" w:rsidP="005407B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4" w:name="_Toc224159551"/>
      <w:r w:rsidRPr="005407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12.12 Treasury Maturity Model</w:t>
      </w:r>
      <w:bookmarkEnd w:id="5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859"/>
      </w:tblGrid>
      <w:tr w:rsidR="005407BA" w:rsidRPr="005407BA" w14:paraId="4AD32431" w14:textId="77777777" w:rsidTr="00D72F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99B47B7" w14:textId="77777777" w:rsidR="005407BA" w:rsidRPr="005407BA" w:rsidRDefault="005407BA" w:rsidP="00D72F77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859" w:type="dxa"/>
            <w:shd w:val="clear" w:color="auto" w:fill="0E2841" w:themeFill="text2"/>
            <w:vAlign w:val="center"/>
            <w:hideMark/>
          </w:tcPr>
          <w:p w14:paraId="151B13CC" w14:textId="77777777" w:rsidR="005407BA" w:rsidRPr="005407BA" w:rsidRDefault="005407BA" w:rsidP="00D72F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5407BA" w:rsidRPr="005407BA" w14:paraId="1D6133D3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056A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859" w:type="dxa"/>
            <w:hideMark/>
          </w:tcPr>
          <w:p w14:paraId="70A8F8E4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cash management</w:t>
            </w:r>
          </w:p>
        </w:tc>
      </w:tr>
      <w:tr w:rsidR="005407BA" w:rsidRPr="005407BA" w14:paraId="67863198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DD5D5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859" w:type="dxa"/>
            <w:hideMark/>
          </w:tcPr>
          <w:p w14:paraId="6ED11E59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Structured forecasting</w:t>
            </w:r>
          </w:p>
        </w:tc>
      </w:tr>
      <w:tr w:rsidR="005407BA" w:rsidRPr="005407BA" w14:paraId="18C31E91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97866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859" w:type="dxa"/>
            <w:hideMark/>
          </w:tcPr>
          <w:p w14:paraId="2BFCB547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Risk-managed treasury</w:t>
            </w:r>
          </w:p>
        </w:tc>
      </w:tr>
      <w:tr w:rsidR="005407BA" w:rsidRPr="005407BA" w14:paraId="0EDBEDFC" w14:textId="77777777" w:rsidTr="00D72F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5E1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 4</w:t>
            </w:r>
          </w:p>
        </w:tc>
        <w:tc>
          <w:tcPr>
            <w:tcW w:w="7859" w:type="dxa"/>
            <w:hideMark/>
          </w:tcPr>
          <w:p w14:paraId="73834ADD" w14:textId="77777777" w:rsidR="005407BA" w:rsidRPr="005407BA" w:rsidRDefault="005407BA" w:rsidP="005407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capital optimization</w:t>
            </w:r>
          </w:p>
        </w:tc>
      </w:tr>
      <w:tr w:rsidR="005407BA" w:rsidRPr="005407BA" w14:paraId="154083F6" w14:textId="77777777" w:rsidTr="00D72F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58D07" w14:textId="77777777" w:rsidR="005407BA" w:rsidRPr="005407BA" w:rsidRDefault="005407BA" w:rsidP="005407B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859" w:type="dxa"/>
            <w:hideMark/>
          </w:tcPr>
          <w:p w14:paraId="55400D06" w14:textId="77777777" w:rsidR="005407BA" w:rsidRPr="005407BA" w:rsidRDefault="005407BA" w:rsidP="00540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07B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AI-driven predictive treasury</w:t>
            </w:r>
          </w:p>
        </w:tc>
      </w:tr>
    </w:tbl>
    <w:p w14:paraId="6713339B" w14:textId="77777777" w:rsidR="005407BA" w:rsidRPr="005407BA" w:rsidRDefault="00000000" w:rsidP="005407B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632544">
          <v:rect id="_x0000_i1044" style="width:0;height:1.5pt" o:hralign="center" o:hrstd="t" o:hr="t" fillcolor="#a0a0a0" stroked="f"/>
        </w:pict>
      </w:r>
    </w:p>
    <w:p w14:paraId="66AFA6D6" w14:textId="44B3225D" w:rsidR="005407BA" w:rsidRPr="00D72F77" w:rsidRDefault="00D72F77" w:rsidP="005407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step</w:t>
      </w:r>
    </w:p>
    <w:p w14:paraId="7BA03E4C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WBS hierarchical coded policy tree</w:t>
      </w:r>
    </w:p>
    <w:p w14:paraId="4D82F2A7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Create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layered architecture diagram</w:t>
      </w:r>
    </w:p>
    <w:p w14:paraId="33A3D30D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Treasury Governance Risk &amp; Control Matrix (GRC full)</w:t>
      </w:r>
    </w:p>
    <w:p w14:paraId="2EE46028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Design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BPMN visual process maps</w:t>
      </w:r>
    </w:p>
    <w:p w14:paraId="0A49AE7C" w14:textId="77777777" w:rsidR="005407BA" w:rsidRPr="00D72F77" w:rsidRDefault="005407BA" w:rsidP="005407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D72F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Or package into </w:t>
      </w:r>
      <w:r w:rsidRPr="00D72F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PPT board presentation format with RAM branding</w:t>
      </w:r>
    </w:p>
    <w:p w14:paraId="172B733D" w14:textId="2DB7DE6D" w:rsidR="009650D2" w:rsidRDefault="00D72F77" w:rsidP="003357E8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r w:rsidR="003357E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Forms and templates </w:t>
      </w:r>
    </w:p>
    <w:p w14:paraId="0CE43EAB" w14:textId="77777777" w:rsidR="003357E8" w:rsidRDefault="003357E8" w:rsidP="003357E8">
      <w:pPr>
        <w:rPr>
          <w:lang w:val="en-GB" w:eastAsia="en-GB" w:bidi="ar-SA"/>
        </w:rPr>
      </w:pPr>
    </w:p>
    <w:p w14:paraId="73F6EC81" w14:textId="77777777" w:rsidR="003357E8" w:rsidRDefault="003357E8">
      <w:pPr>
        <w:rPr>
          <w:lang w:val="en-GB" w:eastAsia="en-GB" w:bidi="ar-SA"/>
        </w:rPr>
      </w:pPr>
      <w:r>
        <w:rPr>
          <w:lang w:val="en-GB" w:eastAsia="en-GB" w:bidi="ar-SA"/>
        </w:rPr>
        <w:br w:type="page"/>
      </w:r>
    </w:p>
    <w:p w14:paraId="0D2B766E" w14:textId="0C1A9C9D" w:rsidR="003357E8" w:rsidRDefault="003357E8" w:rsidP="003357E8">
      <w:pPr>
        <w:rPr>
          <w:lang w:val="en-GB" w:eastAsia="en-GB" w:bidi="ar-SA"/>
        </w:rPr>
      </w:pPr>
      <w:r>
        <w:rPr>
          <w:lang w:val="en-GB" w:eastAsia="en-GB" w:bidi="ar-SA"/>
        </w:rPr>
        <w:lastRenderedPageBreak/>
        <w:t>End of document</w:t>
      </w:r>
    </w:p>
    <w:p w14:paraId="74416708" w14:textId="77777777" w:rsidR="003357E8" w:rsidRPr="003357E8" w:rsidRDefault="003357E8" w:rsidP="003357E8">
      <w:pPr>
        <w:rPr>
          <w:lang w:val="en-GB" w:eastAsia="en-GB" w:bidi="ar-SA"/>
        </w:rPr>
      </w:pPr>
    </w:p>
    <w:sectPr w:rsidR="003357E8" w:rsidRPr="003357E8" w:rsidSect="005407BA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72C4D" w14:textId="77777777" w:rsidR="00465999" w:rsidRDefault="00465999" w:rsidP="00D72F77">
      <w:pPr>
        <w:spacing w:after="0" w:line="240" w:lineRule="auto"/>
      </w:pPr>
      <w:r>
        <w:separator/>
      </w:r>
    </w:p>
  </w:endnote>
  <w:endnote w:type="continuationSeparator" w:id="0">
    <w:p w14:paraId="2E16665F" w14:textId="77777777" w:rsidR="00465999" w:rsidRDefault="00465999" w:rsidP="00D72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746801538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75D65059" w14:textId="6CF40DB6" w:rsidR="00D72F77" w:rsidRDefault="00D72F77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0D4BD3D" w14:textId="77777777" w:rsidR="00D72F77" w:rsidRDefault="00D72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B2308" w14:textId="77777777" w:rsidR="00465999" w:rsidRDefault="00465999" w:rsidP="00D72F77">
      <w:pPr>
        <w:spacing w:after="0" w:line="240" w:lineRule="auto"/>
      </w:pPr>
      <w:r>
        <w:separator/>
      </w:r>
    </w:p>
  </w:footnote>
  <w:footnote w:type="continuationSeparator" w:id="0">
    <w:p w14:paraId="4005017B" w14:textId="77777777" w:rsidR="00465999" w:rsidRDefault="00465999" w:rsidP="00D72F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1D75A" w14:textId="3DD78B32" w:rsidR="00D72F77" w:rsidRDefault="00D72F77">
    <w:pPr>
      <w:pStyle w:val="Header"/>
    </w:pPr>
    <w:r w:rsidRPr="00D72F77">
      <w:t xml:space="preserve">L_0_12_Treasury_Cash_Management </w:t>
    </w:r>
    <w:r w:rsidR="003357E8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4CB3"/>
    <w:multiLevelType w:val="multilevel"/>
    <w:tmpl w:val="748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62C99"/>
    <w:multiLevelType w:val="multilevel"/>
    <w:tmpl w:val="558E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43800"/>
    <w:multiLevelType w:val="multilevel"/>
    <w:tmpl w:val="27D8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550F21"/>
    <w:multiLevelType w:val="multilevel"/>
    <w:tmpl w:val="0C66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027CD7"/>
    <w:multiLevelType w:val="multilevel"/>
    <w:tmpl w:val="2C8A1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A23260"/>
    <w:multiLevelType w:val="multilevel"/>
    <w:tmpl w:val="9A74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43816"/>
    <w:multiLevelType w:val="multilevel"/>
    <w:tmpl w:val="A036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07E0E"/>
    <w:multiLevelType w:val="multilevel"/>
    <w:tmpl w:val="81C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DB30A3"/>
    <w:multiLevelType w:val="multilevel"/>
    <w:tmpl w:val="3270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F124C"/>
    <w:multiLevelType w:val="multilevel"/>
    <w:tmpl w:val="4078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3E1BC6"/>
    <w:multiLevelType w:val="multilevel"/>
    <w:tmpl w:val="72A8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592620">
    <w:abstractNumId w:val="0"/>
  </w:num>
  <w:num w:numId="2" w16cid:durableId="1098258895">
    <w:abstractNumId w:val="9"/>
  </w:num>
  <w:num w:numId="3" w16cid:durableId="340010549">
    <w:abstractNumId w:val="7"/>
  </w:num>
  <w:num w:numId="4" w16cid:durableId="1812795318">
    <w:abstractNumId w:val="10"/>
  </w:num>
  <w:num w:numId="5" w16cid:durableId="653027785">
    <w:abstractNumId w:val="6"/>
  </w:num>
  <w:num w:numId="6" w16cid:durableId="903485669">
    <w:abstractNumId w:val="1"/>
  </w:num>
  <w:num w:numId="7" w16cid:durableId="1999726210">
    <w:abstractNumId w:val="5"/>
  </w:num>
  <w:num w:numId="8" w16cid:durableId="626812906">
    <w:abstractNumId w:val="8"/>
  </w:num>
  <w:num w:numId="9" w16cid:durableId="903642081">
    <w:abstractNumId w:val="3"/>
  </w:num>
  <w:num w:numId="10" w16cid:durableId="508642930">
    <w:abstractNumId w:val="4"/>
  </w:num>
  <w:num w:numId="11" w16cid:durableId="201780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7BA"/>
    <w:rsid w:val="00006503"/>
    <w:rsid w:val="000255D3"/>
    <w:rsid w:val="000B6FB0"/>
    <w:rsid w:val="001A217F"/>
    <w:rsid w:val="00224BAE"/>
    <w:rsid w:val="002D2B53"/>
    <w:rsid w:val="003357E8"/>
    <w:rsid w:val="003575C5"/>
    <w:rsid w:val="00361BC5"/>
    <w:rsid w:val="003926D6"/>
    <w:rsid w:val="003E072D"/>
    <w:rsid w:val="00412B85"/>
    <w:rsid w:val="004250CE"/>
    <w:rsid w:val="00465999"/>
    <w:rsid w:val="004B6DC6"/>
    <w:rsid w:val="005407BA"/>
    <w:rsid w:val="00571686"/>
    <w:rsid w:val="0058252A"/>
    <w:rsid w:val="00596FCE"/>
    <w:rsid w:val="005A7D89"/>
    <w:rsid w:val="005C35C3"/>
    <w:rsid w:val="006755E9"/>
    <w:rsid w:val="00711448"/>
    <w:rsid w:val="009650D2"/>
    <w:rsid w:val="00AB6B21"/>
    <w:rsid w:val="00B70AAC"/>
    <w:rsid w:val="00C80371"/>
    <w:rsid w:val="00CC6EB7"/>
    <w:rsid w:val="00D55B06"/>
    <w:rsid w:val="00D613DB"/>
    <w:rsid w:val="00D72F77"/>
    <w:rsid w:val="00DE12BB"/>
    <w:rsid w:val="00ED755E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01C16"/>
  <w15:chartTrackingRefBased/>
  <w15:docId w15:val="{FCE796FD-708B-4EC0-9B93-D706B18F4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7B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7B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7BA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7BA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7BA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7BA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7BA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7BA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7BA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540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7B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7BA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540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7BA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5407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7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7BA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5407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2F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F77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D72F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F77"/>
    <w:rPr>
      <w:lang w:val="en-US" w:bidi="ar-EG"/>
    </w:rPr>
  </w:style>
  <w:style w:type="table" w:styleId="PlainTable1">
    <w:name w:val="Plain Table 1"/>
    <w:basedOn w:val="TableNormal"/>
    <w:uiPriority w:val="41"/>
    <w:rsid w:val="00D72F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357E8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357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57E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57E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357E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1649</Words>
  <Characters>9818</Characters>
  <Application>Microsoft Office Word</Application>
  <DocSecurity>0</DocSecurity>
  <Lines>392</Lines>
  <Paragraphs>208</Paragraphs>
  <ScaleCrop>false</ScaleCrop>
  <Company/>
  <LinksUpToDate>false</LinksUpToDate>
  <CharactersWithSpaces>11259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5</cp:revision>
  <dcterms:created xsi:type="dcterms:W3CDTF">2026-03-10T01:26:00Z</dcterms:created>
  <dcterms:modified xsi:type="dcterms:W3CDTF">2026-03-15T09:38:00Z</dcterms:modified>
</cp:coreProperties>
</file>