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D711C" w14:textId="77777777" w:rsidR="00280B63" w:rsidRPr="00A345AC" w:rsidRDefault="00280B63" w:rsidP="00C7462E">
      <w:pPr>
        <w:shd w:val="clear" w:color="auto" w:fill="00206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A345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L0 – ENTERPRISE ENABLERS </w:t>
      </w:r>
      <w:r w:rsidRPr="00A345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  <w:t>(Cross-Cutting)</w:t>
      </w:r>
    </w:p>
    <w:p w14:paraId="11982A8F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10_Management_Administration</w:t>
      </w:r>
    </w:p>
    <w:p w14:paraId="5B591736" w14:textId="15A57855" w:rsidR="00280B63" w:rsidRPr="00280B63" w:rsidRDefault="00280B63" w:rsidP="00280B63">
      <w:pPr>
        <w:pStyle w:val="ListParagraph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  <w:t>11_Finance_Accounting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12_Treasury_Cash_Management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13_Procurement_Commercial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14_Human_Resources_Interface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15_IT_Data_Governance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16_Sales_Marketing_Commercialization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17_Tenant_Customer_Service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18_Legal_Contracts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19_Internal_Control_Audit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20_Ethics_Compliance_Conduct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21_Business_Continuity_Crisis</w:t>
      </w:r>
    </w:p>
    <w:p w14:paraId="03DC5CDF" w14:textId="77777777" w:rsidR="00280B63" w:rsidRPr="00A345AC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595562">
          <v:rect id="_x0000_i1025" style="width:0;height:1.5pt" o:hralign="center" o:hrstd="t" o:hr="t" fillcolor="#a0a0a0" stroked="f"/>
        </w:pict>
      </w:r>
    </w:p>
    <w:p w14:paraId="6367C397" w14:textId="315BF430" w:rsidR="00280B63" w:rsidRPr="00280B63" w:rsidRDefault="00280B63" w:rsidP="00C7462E">
      <w:pPr>
        <w:shd w:val="clear" w:color="auto" w:fill="00206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L_0_11_Finance_Accounting</w:t>
      </w:r>
    </w:p>
    <w:p w14:paraId="1EC75525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(Comprehensive Policy &amp; Procedures Manual Section – RAM Framework Aligned)</w:t>
      </w:r>
    </w:p>
    <w:p w14:paraId="601A2563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section is structured in your RAM enterprise architecture logic:</w:t>
      </w:r>
    </w:p>
    <w:p w14:paraId="6619229A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WBS-coded hierarchy</w:t>
      </w:r>
    </w:p>
    <w:p w14:paraId="6D514D67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SIPOC per major process</w:t>
      </w:r>
    </w:p>
    <w:p w14:paraId="631351FD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BPMN logical flows</w:t>
      </w:r>
    </w:p>
    <w:p w14:paraId="773D5490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RACI matrix</w:t>
      </w:r>
    </w:p>
    <w:p w14:paraId="06E2099C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KPIs</w:t>
      </w:r>
    </w:p>
    <w:p w14:paraId="28974B5D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system mapping</w:t>
      </w:r>
    </w:p>
    <w:p w14:paraId="4F32F046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 &amp; Templates register</w:t>
      </w:r>
    </w:p>
    <w:p w14:paraId="70387DD3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Risk &amp; Control Matrix (aligned with COSO &amp; ISO 37301 principles)</w:t>
      </w:r>
    </w:p>
    <w:p w14:paraId="4240040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511870">
          <v:rect id="_x0000_i1026" style="width:0;height:1.5pt" o:hralign="center" o:hrstd="t" o:hr="t" fillcolor="#a0a0a0" stroked="f"/>
        </w:pict>
      </w:r>
    </w:p>
    <w:p w14:paraId="2CE794D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11.0 Finance &amp; Accounting Framework Overview</w:t>
      </w:r>
    </w:p>
    <w:p w14:paraId="4B454E6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Purpose</w:t>
      </w:r>
    </w:p>
    <w:p w14:paraId="3CDD8089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Ensure:</w:t>
      </w:r>
    </w:p>
    <w:p w14:paraId="1898EDAD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integrity</w:t>
      </w:r>
    </w:p>
    <w:p w14:paraId="3DE2BA86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3E1A74C1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 protection</w:t>
      </w:r>
    </w:p>
    <w:p w14:paraId="17FDF44C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optimization</w:t>
      </w:r>
    </w:p>
    <w:p w14:paraId="0491B578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Transparent reporting</w:t>
      </w:r>
    </w:p>
    <w:p w14:paraId="64EB765D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financial planning</w:t>
      </w:r>
    </w:p>
    <w:p w14:paraId="3828A95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</w:p>
    <w:p w14:paraId="0AF593D3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Applies to:</w:t>
      </w:r>
    </w:p>
    <w:p w14:paraId="0A34CCFD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subsidiaries</w:t>
      </w:r>
    </w:p>
    <w:p w14:paraId="26A8B664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business units</w:t>
      </w:r>
    </w:p>
    <w:p w14:paraId="3169E1D0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cost </w:t>
      </w:r>
      <w:proofErr w:type="spellStart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centers</w:t>
      </w:r>
      <w:proofErr w:type="spellEnd"/>
    </w:p>
    <w:p w14:paraId="4608A6FA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CapEx &amp; </w:t>
      </w:r>
      <w:proofErr w:type="spellStart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OpEx</w:t>
      </w:r>
      <w:proofErr w:type="spellEnd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activities</w:t>
      </w:r>
    </w:p>
    <w:p w14:paraId="54FAAA6C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revenue streams</w:t>
      </w:r>
    </w:p>
    <w:p w14:paraId="2F68D6C3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1237B44">
          <v:rect id="_x0000_i1027" style="width:0;height:1.5pt" o:hralign="center" o:hrstd="t" o:hr="t" fillcolor="#a0a0a0" stroked="f"/>
        </w:pict>
      </w:r>
    </w:p>
    <w:p w14:paraId="6403D56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11.1 Financial Governance Policy</w:t>
      </w:r>
    </w:p>
    <w:p w14:paraId="021E8C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11.1.1 Financial Authority &amp; Delegation Matrix</w:t>
      </w:r>
    </w:p>
    <w:p w14:paraId="6909EA9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Objective</w:t>
      </w:r>
    </w:p>
    <w:p w14:paraId="3C79FBC7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financial decision rights and approval thresholds.</w:t>
      </w:r>
    </w:p>
    <w:p w14:paraId="2EBCC60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WBS Structure</w:t>
      </w:r>
    </w:p>
    <w:p w14:paraId="1B04DD7F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11.1 Financial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11.1.1 Financial Authority Matrix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11.1.1.1 Approval Limits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11.1.1.2 Dual Signature Rules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11.1.1.3 Emergency Expenditure Protocol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11.1.2 Budget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11.1.3 Financial Ethics &amp; Anti-Fraud</w:t>
      </w:r>
    </w:p>
    <w:p w14:paraId="24B20F6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93CE632">
          <v:rect id="_x0000_i1028" style="width:0;height:1.5pt" o:hralign="center" o:hrstd="t" o:hr="t" fillcolor="#a0a0a0" stroked="f"/>
        </w:pict>
      </w:r>
    </w:p>
    <w:p w14:paraId="5E05BA15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 – Financial Authority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2"/>
        <w:gridCol w:w="1808"/>
        <w:gridCol w:w="1824"/>
        <w:gridCol w:w="1973"/>
        <w:gridCol w:w="1469"/>
      </w:tblGrid>
      <w:tr w:rsidR="00280B63" w:rsidRPr="00280B63" w14:paraId="78484635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1CC0A567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59617DE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A1E630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AC928E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23221D2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634E1774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A660E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hideMark/>
          </w:tcPr>
          <w:p w14:paraId="14E9D1D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request</w:t>
            </w:r>
          </w:p>
        </w:tc>
        <w:tc>
          <w:tcPr>
            <w:tcW w:w="0" w:type="auto"/>
            <w:hideMark/>
          </w:tcPr>
          <w:p w14:paraId="692526FC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&amp; validate</w:t>
            </w:r>
          </w:p>
        </w:tc>
        <w:tc>
          <w:tcPr>
            <w:tcW w:w="0" w:type="auto"/>
            <w:hideMark/>
          </w:tcPr>
          <w:p w14:paraId="51557C9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request</w:t>
            </w:r>
          </w:p>
        </w:tc>
        <w:tc>
          <w:tcPr>
            <w:tcW w:w="0" w:type="auto"/>
            <w:hideMark/>
          </w:tcPr>
          <w:p w14:paraId="579AA8E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280B63" w:rsidRPr="00280B63" w14:paraId="5D404B2F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BB2C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FA74E64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data</w:t>
            </w:r>
          </w:p>
        </w:tc>
        <w:tc>
          <w:tcPr>
            <w:tcW w:w="0" w:type="auto"/>
            <w:hideMark/>
          </w:tcPr>
          <w:p w14:paraId="10773024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&amp; verify</w:t>
            </w:r>
          </w:p>
        </w:tc>
        <w:tc>
          <w:tcPr>
            <w:tcW w:w="0" w:type="auto"/>
            <w:hideMark/>
          </w:tcPr>
          <w:p w14:paraId="477E9870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instruction</w:t>
            </w:r>
          </w:p>
        </w:tc>
        <w:tc>
          <w:tcPr>
            <w:tcW w:w="0" w:type="auto"/>
            <w:hideMark/>
          </w:tcPr>
          <w:p w14:paraId="5EAAE5D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</w:t>
            </w:r>
          </w:p>
        </w:tc>
      </w:tr>
      <w:tr w:rsidR="00280B63" w:rsidRPr="00280B63" w14:paraId="0022C2DF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1415D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CEO/Board</w:t>
            </w:r>
          </w:p>
        </w:tc>
        <w:tc>
          <w:tcPr>
            <w:tcW w:w="0" w:type="auto"/>
            <w:hideMark/>
          </w:tcPr>
          <w:p w14:paraId="0D8546DC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direction</w:t>
            </w:r>
          </w:p>
        </w:tc>
        <w:tc>
          <w:tcPr>
            <w:tcW w:w="0" w:type="auto"/>
            <w:hideMark/>
          </w:tcPr>
          <w:p w14:paraId="4CFC10A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approval</w:t>
            </w:r>
          </w:p>
        </w:tc>
        <w:tc>
          <w:tcPr>
            <w:tcW w:w="0" w:type="auto"/>
            <w:hideMark/>
          </w:tcPr>
          <w:p w14:paraId="7D16DEDB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Authorized spend</w:t>
            </w:r>
          </w:p>
        </w:tc>
        <w:tc>
          <w:tcPr>
            <w:tcW w:w="0" w:type="auto"/>
            <w:hideMark/>
          </w:tcPr>
          <w:p w14:paraId="717066C0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</w:tr>
    </w:tbl>
    <w:p w14:paraId="509AA6D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580E2A">
          <v:rect id="_x0000_i1029" style="width:0;height:1.5pt" o:hralign="center" o:hrstd="t" o:hr="t" fillcolor="#a0a0a0" stroked="f"/>
        </w:pict>
      </w:r>
    </w:p>
    <w:p w14:paraId="5800AC4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0"/>
        <w:gridCol w:w="1316"/>
        <w:gridCol w:w="1030"/>
        <w:gridCol w:w="723"/>
        <w:gridCol w:w="737"/>
        <w:gridCol w:w="857"/>
        <w:gridCol w:w="1822"/>
      </w:tblGrid>
      <w:tr w:rsidR="00C7462E" w:rsidRPr="00280B63" w14:paraId="4B9F99E0" w14:textId="429E44E0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hideMark/>
          </w:tcPr>
          <w:p w14:paraId="2CDD096A" w14:textId="77777777" w:rsidR="00C7462E" w:rsidRPr="00280B63" w:rsidRDefault="00C7462E" w:rsidP="00280B6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02060"/>
            <w:hideMark/>
          </w:tcPr>
          <w:p w14:paraId="36BEEC25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  <w:tc>
          <w:tcPr>
            <w:tcW w:w="0" w:type="auto"/>
            <w:shd w:val="clear" w:color="auto" w:fill="002060"/>
            <w:hideMark/>
          </w:tcPr>
          <w:p w14:paraId="5576099A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02060"/>
            <w:hideMark/>
          </w:tcPr>
          <w:p w14:paraId="2C5B41B2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shd w:val="clear" w:color="auto" w:fill="002060"/>
            <w:hideMark/>
          </w:tcPr>
          <w:p w14:paraId="43F420F5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02060"/>
            <w:hideMark/>
          </w:tcPr>
          <w:p w14:paraId="07A121F0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1822" w:type="dxa"/>
            <w:shd w:val="clear" w:color="auto" w:fill="002060"/>
          </w:tcPr>
          <w:p w14:paraId="4CC51D44" w14:textId="3146C603" w:rsidR="00C7462E" w:rsidRPr="00C7462E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6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  <w:tr w:rsidR="00C7462E" w:rsidRPr="00280B63" w14:paraId="6E821A7F" w14:textId="41009604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F0E3A" w14:textId="77777777" w:rsidR="00C7462E" w:rsidRPr="00280B63" w:rsidRDefault="00C7462E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 Budget</w:t>
            </w:r>
          </w:p>
        </w:tc>
        <w:tc>
          <w:tcPr>
            <w:tcW w:w="0" w:type="auto"/>
            <w:hideMark/>
          </w:tcPr>
          <w:p w14:paraId="3C319778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58CAC9C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0C6CA98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556EE9A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30C6B6D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1822" w:type="dxa"/>
          </w:tcPr>
          <w:p w14:paraId="4E87E8E6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C7462E" w:rsidRPr="00280B63" w14:paraId="38EA909A" w14:textId="4EFEAA6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F7B8B" w14:textId="77777777" w:rsidR="00C7462E" w:rsidRPr="00280B63" w:rsidRDefault="00C7462E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&gt; Threshold</w:t>
            </w:r>
          </w:p>
        </w:tc>
        <w:tc>
          <w:tcPr>
            <w:tcW w:w="0" w:type="auto"/>
            <w:hideMark/>
          </w:tcPr>
          <w:p w14:paraId="6E732B48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350544E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BBF0495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A1FB692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DABF534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2" w:type="dxa"/>
          </w:tcPr>
          <w:p w14:paraId="1ADC0C02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C7462E" w:rsidRPr="00280B63" w14:paraId="7DD66851" w14:textId="06C5735C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A2D14" w14:textId="77777777" w:rsidR="00C7462E" w:rsidRPr="00280B63" w:rsidRDefault="00C7462E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Spend</w:t>
            </w:r>
          </w:p>
        </w:tc>
        <w:tc>
          <w:tcPr>
            <w:tcW w:w="0" w:type="auto"/>
            <w:hideMark/>
          </w:tcPr>
          <w:p w14:paraId="16601689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F4D3712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0469B4F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FC10396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AB35BD2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1822" w:type="dxa"/>
          </w:tcPr>
          <w:p w14:paraId="5FE74099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56CF43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2440CB">
          <v:rect id="_x0000_i1030" style="width:0;height:1.5pt" o:hralign="center" o:hrstd="t" o:hr="t" fillcolor="#a0a0a0" stroked="f"/>
        </w:pict>
      </w:r>
    </w:p>
    <w:p w14:paraId="5FE2E27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1E15BC74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% unauthorized expenditures (Target: 0%)</w:t>
      </w:r>
    </w:p>
    <w:p w14:paraId="42EB78D8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variance ratio (&lt;5%)</w:t>
      </w:r>
    </w:p>
    <w:p w14:paraId="5E87D3FA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cycle time</w:t>
      </w:r>
    </w:p>
    <w:p w14:paraId="1BDC1209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Fraud incidents detected</w:t>
      </w:r>
    </w:p>
    <w:p w14:paraId="64ACB28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D675ED">
          <v:rect id="_x0000_i1031" style="width:0;height:1.5pt" o:hralign="center" o:hrstd="t" o:hr="t" fillcolor="#a0a0a0" stroked="f"/>
        </w:pict>
      </w:r>
    </w:p>
    <w:p w14:paraId="504A5F1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SAP Mapping</w:t>
      </w:r>
    </w:p>
    <w:p w14:paraId="502E6146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FI (Financial Accounting)</w:t>
      </w:r>
    </w:p>
    <w:p w14:paraId="1E56A08F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CO (Controlling)</w:t>
      </w:r>
    </w:p>
    <w:p w14:paraId="7C5A5787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Fiori approval workflows</w:t>
      </w:r>
    </w:p>
    <w:p w14:paraId="30DCBE1F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GRC</w:t>
      </w:r>
    </w:p>
    <w:p w14:paraId="1F766A4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76D831">
          <v:rect id="_x0000_i1032" style="width:0;height:1.5pt" o:hralign="center" o:hrstd="t" o:hr="t" fillcolor="#a0a0a0" stroked="f"/>
        </w:pict>
      </w:r>
    </w:p>
    <w:p w14:paraId="1CD7F66B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24152B6F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F-11-01 Budget Request Form</w:t>
      </w:r>
    </w:p>
    <w:p w14:paraId="5B2FFC84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F-11-02 Capital Approval Form</w:t>
      </w:r>
    </w:p>
    <w:p w14:paraId="5AF740D3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F-11-03 Emergency Expense Form</w:t>
      </w:r>
    </w:p>
    <w:p w14:paraId="5A7EB591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F-11-04 Delegation Matrix Register</w:t>
      </w:r>
    </w:p>
    <w:p w14:paraId="4A08707D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50BA80">
          <v:rect id="_x0000_i1033" style="width:0;height:1.5pt" o:hralign="center" o:hrstd="t" o:hr="t" fillcolor="#a0a0a0" stroked="f"/>
        </w:pict>
      </w:r>
    </w:p>
    <w:p w14:paraId="40D04C1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11.2 Budgeting &amp; Financial Planning</w:t>
      </w:r>
    </w:p>
    <w:p w14:paraId="12030E2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11.2.1 Annual Budgeting Process</w:t>
      </w:r>
    </w:p>
    <w:p w14:paraId="1A42D02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WBS</w:t>
      </w:r>
    </w:p>
    <w:p w14:paraId="1039184E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11.2 Budgeting &amp; Planning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11.2.1 Strategic Financial Planning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11.2.2 Annual Budget Development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11.2.3 Forecasting &amp; Rolling Forecast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11.2.4 Budget Monitoring</w:t>
      </w:r>
    </w:p>
    <w:p w14:paraId="7966268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0F8D26">
          <v:rect id="_x0000_i1034" style="width:0;height:1.5pt" o:hralign="center" o:hrstd="t" o:hr="t" fillcolor="#a0a0a0" stroked="f"/>
        </w:pict>
      </w:r>
    </w:p>
    <w:p w14:paraId="5EE0D9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BPMN Flow (Logical)</w:t>
      </w:r>
    </w:p>
    <w:p w14:paraId="730E19A0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Targets Issued</w:t>
      </w:r>
    </w:p>
    <w:p w14:paraId="7EF9F387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Budget Submission</w:t>
      </w:r>
    </w:p>
    <w:p w14:paraId="56006B2B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Consolidation</w:t>
      </w:r>
    </w:p>
    <w:p w14:paraId="691C2477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CFO Review</w:t>
      </w:r>
    </w:p>
    <w:p w14:paraId="77AFCCE2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Approval</w:t>
      </w:r>
    </w:p>
    <w:p w14:paraId="2E53EA45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Upload to SAP</w:t>
      </w:r>
    </w:p>
    <w:p w14:paraId="644F2FC2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Variance Tracking</w:t>
      </w:r>
    </w:p>
    <w:p w14:paraId="4CE80562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5A6E40B">
          <v:rect id="_x0000_i1035" style="width:0;height:1.5pt" o:hralign="center" o:hrstd="t" o:hr="t" fillcolor="#a0a0a0" stroked="f"/>
        </w:pict>
      </w:r>
    </w:p>
    <w:p w14:paraId="7C236D9E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SIPOC – Budget Cycle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3"/>
        <w:gridCol w:w="1756"/>
        <w:gridCol w:w="2069"/>
        <w:gridCol w:w="1423"/>
        <w:gridCol w:w="1230"/>
      </w:tblGrid>
      <w:tr w:rsidR="00280B63" w:rsidRPr="00280B63" w14:paraId="32C5D3C3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7631519D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5D14E0C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4FF3B89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E9BAE1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5719DF7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60FEC5CF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9C12B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10548CF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targets</w:t>
            </w:r>
          </w:p>
        </w:tc>
        <w:tc>
          <w:tcPr>
            <w:tcW w:w="0" w:type="auto"/>
            <w:hideMark/>
          </w:tcPr>
          <w:p w14:paraId="16B0298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Translate to budget</w:t>
            </w:r>
          </w:p>
        </w:tc>
        <w:tc>
          <w:tcPr>
            <w:tcW w:w="0" w:type="auto"/>
            <w:hideMark/>
          </w:tcPr>
          <w:p w14:paraId="7F37204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draft</w:t>
            </w:r>
          </w:p>
        </w:tc>
        <w:tc>
          <w:tcPr>
            <w:tcW w:w="0" w:type="auto"/>
            <w:hideMark/>
          </w:tcPr>
          <w:p w14:paraId="00DE08A8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125DEED7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7798F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  <w:tc>
          <w:tcPr>
            <w:tcW w:w="0" w:type="auto"/>
            <w:hideMark/>
          </w:tcPr>
          <w:p w14:paraId="38FF1C5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estimates</w:t>
            </w:r>
          </w:p>
        </w:tc>
        <w:tc>
          <w:tcPr>
            <w:tcW w:w="0" w:type="auto"/>
            <w:hideMark/>
          </w:tcPr>
          <w:p w14:paraId="2DEF3B0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4DB94ED1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budget</w:t>
            </w:r>
          </w:p>
        </w:tc>
        <w:tc>
          <w:tcPr>
            <w:tcW w:w="0" w:type="auto"/>
            <w:hideMark/>
          </w:tcPr>
          <w:p w14:paraId="591193BF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</w:tbl>
    <w:p w14:paraId="38A0698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87296D">
          <v:rect id="_x0000_i1036" style="width:0;height:1.5pt" o:hralign="center" o:hrstd="t" o:hr="t" fillcolor="#a0a0a0" stroked="f"/>
        </w:pict>
      </w:r>
    </w:p>
    <w:p w14:paraId="7CFD151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141F0447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accuracy rate</w:t>
      </w:r>
    </w:p>
    <w:p w14:paraId="04F3C115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 %</w:t>
      </w:r>
    </w:p>
    <w:p w14:paraId="1642F954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EBITDA variance</w:t>
      </w:r>
    </w:p>
    <w:p w14:paraId="2263D5EC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absorption rate</w:t>
      </w:r>
    </w:p>
    <w:p w14:paraId="6B12805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4D139C">
          <v:rect id="_x0000_i1037" style="width:0;height:1.5pt" o:hralign="center" o:hrstd="t" o:hr="t" fillcolor="#a0a0a0" stroked="f"/>
        </w:pict>
      </w:r>
    </w:p>
    <w:p w14:paraId="3FD39AD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Templates</w:t>
      </w:r>
    </w:p>
    <w:p w14:paraId="33E844AF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F-11-10 Annual Budget Template (Excel linked to SAP)</w:t>
      </w:r>
    </w:p>
    <w:p w14:paraId="709FBCD9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F-11-11 Rolling Forecast Model</w:t>
      </w:r>
    </w:p>
    <w:p w14:paraId="3B1CB16A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F-11-12 Variance Analysis Template</w:t>
      </w:r>
    </w:p>
    <w:p w14:paraId="56CF0E9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F63FC8">
          <v:rect id="_x0000_i1038" style="width:0;height:1.5pt" o:hralign="center" o:hrstd="t" o:hr="t" fillcolor="#a0a0a0" stroked="f"/>
        </w:pict>
      </w:r>
    </w:p>
    <w:p w14:paraId="606FA3F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11.3 Accounts Payable (AP)</w:t>
      </w:r>
    </w:p>
    <w:p w14:paraId="35F18D1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11.3.1 Procure-to-Pay (P2P) Process</w:t>
      </w:r>
    </w:p>
    <w:p w14:paraId="0EBEE08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F9BC04">
          <v:rect id="_x0000_i1039" style="width:0;height:1.5pt" o:hralign="center" o:hrstd="t" o:hr="t" fillcolor="#a0a0a0" stroked="f"/>
        </w:pict>
      </w:r>
    </w:p>
    <w:p w14:paraId="4BB8A33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3"/>
        <w:gridCol w:w="936"/>
        <w:gridCol w:w="2102"/>
        <w:gridCol w:w="1943"/>
        <w:gridCol w:w="1230"/>
      </w:tblGrid>
      <w:tr w:rsidR="00280B63" w:rsidRPr="00280B63" w14:paraId="614FF1C5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055943DB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C8CCCC0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5097B15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67A933E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76FA66A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506AF47D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AF46C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007FB59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3E6734D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verification</w:t>
            </w:r>
          </w:p>
        </w:tc>
        <w:tc>
          <w:tcPr>
            <w:tcW w:w="0" w:type="auto"/>
            <w:hideMark/>
          </w:tcPr>
          <w:p w14:paraId="18629F5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1A87378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</w:tr>
      <w:tr w:rsidR="00280B63" w:rsidRPr="00280B63" w14:paraId="6BCE4C90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32383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BA2DFBB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</w:t>
            </w:r>
          </w:p>
        </w:tc>
        <w:tc>
          <w:tcPr>
            <w:tcW w:w="0" w:type="auto"/>
            <w:hideMark/>
          </w:tcPr>
          <w:p w14:paraId="426DF5A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3-way match</w:t>
            </w:r>
          </w:p>
        </w:tc>
        <w:tc>
          <w:tcPr>
            <w:tcW w:w="0" w:type="auto"/>
            <w:hideMark/>
          </w:tcPr>
          <w:p w14:paraId="0F75F704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invoice</w:t>
            </w:r>
          </w:p>
        </w:tc>
        <w:tc>
          <w:tcPr>
            <w:tcW w:w="0" w:type="auto"/>
            <w:hideMark/>
          </w:tcPr>
          <w:p w14:paraId="3B9204C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</w:tr>
    </w:tbl>
    <w:p w14:paraId="645C1D5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AEAF8E">
          <v:rect id="_x0000_i1040" style="width:0;height:1.5pt" o:hralign="center" o:hrstd="t" o:hr="t" fillcolor="#a0a0a0" stroked="f"/>
        </w:pict>
      </w:r>
    </w:p>
    <w:p w14:paraId="3CDE2ACF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BPMN Logical Flow</w:t>
      </w:r>
    </w:p>
    <w:p w14:paraId="321D1460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Receive Invoice</w:t>
      </w:r>
    </w:p>
    <w:p w14:paraId="20A3842A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3-Way Match (PO, GRN, Invoice)</w:t>
      </w:r>
    </w:p>
    <w:p w14:paraId="3C11F834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Validation</w:t>
      </w:r>
    </w:p>
    <w:p w14:paraId="186BBE88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</w:t>
      </w:r>
    </w:p>
    <w:p w14:paraId="78792080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Scheduling</w:t>
      </w:r>
    </w:p>
    <w:p w14:paraId="59E0B813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Transfer</w:t>
      </w:r>
    </w:p>
    <w:p w14:paraId="1D028832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Posting</w:t>
      </w:r>
    </w:p>
    <w:p w14:paraId="052FB11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6191CD13">
          <v:rect id="_x0000_i1041" style="width:0;height:1.5pt" o:hralign="center" o:hrstd="t" o:hr="t" fillcolor="#a0a0a0" stroked="f"/>
        </w:pict>
      </w:r>
    </w:p>
    <w:p w14:paraId="11A9B1C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</w:p>
    <w:p w14:paraId="3615BA6B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Mandatory PO</w:t>
      </w:r>
    </w:p>
    <w:p w14:paraId="7A9D6B44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04290C17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master verification</w:t>
      </w:r>
    </w:p>
    <w:p w14:paraId="35C16F8D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batch approval</w:t>
      </w:r>
    </w:p>
    <w:p w14:paraId="58E1399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7540B9">
          <v:rect id="_x0000_i1042" style="width:0;height:1.5pt" o:hralign="center" o:hrstd="t" o:hr="t" fillcolor="#a0a0a0" stroked="f"/>
        </w:pict>
      </w:r>
    </w:p>
    <w:p w14:paraId="536BD0C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6"/>
        <w:gridCol w:w="1563"/>
        <w:gridCol w:w="1030"/>
        <w:gridCol w:w="1163"/>
        <w:gridCol w:w="723"/>
      </w:tblGrid>
      <w:tr w:rsidR="00280B63" w:rsidRPr="00280B63" w14:paraId="37CB1CB6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6A35BB48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A5EBA8F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F27CE07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517A05D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766FBDA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35AB7894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94DC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 Creation</w:t>
            </w:r>
          </w:p>
        </w:tc>
        <w:tc>
          <w:tcPr>
            <w:tcW w:w="0" w:type="auto"/>
            <w:hideMark/>
          </w:tcPr>
          <w:p w14:paraId="13C8C493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829FE9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E19A44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8BF1592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280B63" w:rsidRPr="00280B63" w14:paraId="502C0C1E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D86E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Check</w:t>
            </w:r>
          </w:p>
        </w:tc>
        <w:tc>
          <w:tcPr>
            <w:tcW w:w="0" w:type="auto"/>
            <w:hideMark/>
          </w:tcPr>
          <w:p w14:paraId="696C39A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7ECCCA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2740EB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965599F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280B63" w:rsidRPr="00280B63" w14:paraId="51D026CA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9AF31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6E22D1E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8DB625C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3593C5D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16D869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396D037A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A40C57B">
          <v:rect id="_x0000_i1043" style="width:0;height:1.5pt" o:hralign="center" o:hrstd="t" o:hr="t" fillcolor="#a0a0a0" stroked="f"/>
        </w:pict>
      </w:r>
    </w:p>
    <w:p w14:paraId="262B2EF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61B5BD27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Payable Outstanding (DPO)</w:t>
      </w:r>
    </w:p>
    <w:p w14:paraId="142671F0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processing time</w:t>
      </w:r>
    </w:p>
    <w:p w14:paraId="21EDC5D4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Duplicate payment rate (0%)</w:t>
      </w:r>
    </w:p>
    <w:p w14:paraId="39CB0DFD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Early payment discounts captured</w:t>
      </w:r>
    </w:p>
    <w:p w14:paraId="3DE470B0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1E4FC71">
          <v:rect id="_x0000_i1044" style="width:0;height:1.5pt" o:hralign="center" o:hrstd="t" o:hr="t" fillcolor="#a0a0a0" stroked="f"/>
        </w:pict>
      </w:r>
    </w:p>
    <w:p w14:paraId="7FC3D83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174BA73B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F-11-20 Invoice Intake Log</w:t>
      </w:r>
    </w:p>
    <w:p w14:paraId="4C5B3AB4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F-11-21 Payment Batch Form</w:t>
      </w:r>
    </w:p>
    <w:p w14:paraId="62E7F50A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F-11-22 Vendor Master Change Request</w:t>
      </w:r>
    </w:p>
    <w:p w14:paraId="77B05ED1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B53F29">
          <v:rect id="_x0000_i1045" style="width:0;height:1.5pt" o:hralign="center" o:hrstd="t" o:hr="t" fillcolor="#a0a0a0" stroked="f"/>
        </w:pict>
      </w:r>
    </w:p>
    <w:p w14:paraId="44325E2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11.4 Accounts Receivable (AR)</w:t>
      </w:r>
    </w:p>
    <w:p w14:paraId="5B51E88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11.4.1 Order-to-Cash (O2C)</w:t>
      </w:r>
    </w:p>
    <w:p w14:paraId="7052B3B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44E602">
          <v:rect id="_x0000_i1046" style="width:0;height:1.5pt" o:hralign="center" o:hrstd="t" o:hr="t" fillcolor="#a0a0a0" stroked="f"/>
        </w:pict>
      </w:r>
    </w:p>
    <w:p w14:paraId="2FC5A5E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056"/>
        <w:gridCol w:w="2009"/>
        <w:gridCol w:w="1409"/>
        <w:gridCol w:w="1230"/>
      </w:tblGrid>
      <w:tr w:rsidR="00280B63" w:rsidRPr="00280B63" w14:paraId="2900189F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4C79BBAC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752196E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4A687C4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3B3231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A55649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4059E04C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D4E9A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  <w:tc>
          <w:tcPr>
            <w:tcW w:w="0" w:type="auto"/>
            <w:hideMark/>
          </w:tcPr>
          <w:p w14:paraId="107D1E53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</w:t>
            </w:r>
          </w:p>
        </w:tc>
        <w:tc>
          <w:tcPr>
            <w:tcW w:w="0" w:type="auto"/>
            <w:hideMark/>
          </w:tcPr>
          <w:p w14:paraId="2B01085B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generation</w:t>
            </w:r>
          </w:p>
        </w:tc>
        <w:tc>
          <w:tcPr>
            <w:tcW w:w="0" w:type="auto"/>
            <w:hideMark/>
          </w:tcPr>
          <w:p w14:paraId="61AA595B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5F32F12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</w:t>
            </w:r>
          </w:p>
        </w:tc>
      </w:tr>
      <w:tr w:rsidR="00280B63" w:rsidRPr="00280B63" w14:paraId="656A0C35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EA4DE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</w:t>
            </w:r>
          </w:p>
        </w:tc>
        <w:tc>
          <w:tcPr>
            <w:tcW w:w="0" w:type="auto"/>
            <w:hideMark/>
          </w:tcPr>
          <w:p w14:paraId="0E07A9A6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5704065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hideMark/>
          </w:tcPr>
          <w:p w14:paraId="50742AEB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receipt</w:t>
            </w:r>
          </w:p>
        </w:tc>
        <w:tc>
          <w:tcPr>
            <w:tcW w:w="0" w:type="auto"/>
            <w:hideMark/>
          </w:tcPr>
          <w:p w14:paraId="139F681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306327C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4A389399">
          <v:rect id="_x0000_i1047" style="width:0;height:1.5pt" o:hralign="center" o:hrstd="t" o:hr="t" fillcolor="#a0a0a0" stroked="f"/>
        </w:pict>
      </w:r>
    </w:p>
    <w:p w14:paraId="66F9743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Process</w:t>
      </w:r>
    </w:p>
    <w:p w14:paraId="0AECAFBD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Order</w:t>
      </w:r>
    </w:p>
    <w:p w14:paraId="351E90E5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Delivery Confirmation</w:t>
      </w:r>
    </w:p>
    <w:p w14:paraId="70A9739C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Issued</w:t>
      </w:r>
    </w:p>
    <w:p w14:paraId="2FC52062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Tracking</w:t>
      </w:r>
    </w:p>
    <w:p w14:paraId="38781B0E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Reconciliation</w:t>
      </w:r>
    </w:p>
    <w:p w14:paraId="72B2BE8D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Follow-up</w:t>
      </w:r>
    </w:p>
    <w:p w14:paraId="4E45189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783293F">
          <v:rect id="_x0000_i1048" style="width:0;height:1.5pt" o:hralign="center" o:hrstd="t" o:hr="t" fillcolor="#a0a0a0" stroked="f"/>
        </w:pict>
      </w:r>
    </w:p>
    <w:p w14:paraId="4BCD2BF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191BF3FA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Sales Outstanding (DSO)</w:t>
      </w:r>
    </w:p>
    <w:p w14:paraId="606B8A78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Bad debt %</w:t>
      </w:r>
    </w:p>
    <w:p w14:paraId="18AC16D5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efficiency ratio</w:t>
      </w:r>
    </w:p>
    <w:p w14:paraId="1CF498D0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Aging &gt; 90 days %</w:t>
      </w:r>
    </w:p>
    <w:p w14:paraId="6E97163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D25FD4">
          <v:rect id="_x0000_i1049" style="width:0;height:1.5pt" o:hralign="center" o:hrstd="t" o:hr="t" fillcolor="#a0a0a0" stroked="f"/>
        </w:pict>
      </w:r>
    </w:p>
    <w:p w14:paraId="353C0DB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5BE77900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F-11-30 Credit Approval Form</w:t>
      </w:r>
    </w:p>
    <w:p w14:paraId="5A19EC6F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F-11-31 Aging Report</w:t>
      </w:r>
    </w:p>
    <w:p w14:paraId="2F904CB2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F-11-32 Write-off Authorization</w:t>
      </w:r>
    </w:p>
    <w:p w14:paraId="4DDB117E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B3314B">
          <v:rect id="_x0000_i1050" style="width:0;height:1.5pt" o:hralign="center" o:hrstd="t" o:hr="t" fillcolor="#a0a0a0" stroked="f"/>
        </w:pict>
      </w:r>
    </w:p>
    <w:p w14:paraId="683AFDE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11.5 Treasury &amp; Cash Management</w:t>
      </w:r>
    </w:p>
    <w:p w14:paraId="3A2AFBF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76C5AB">
          <v:rect id="_x0000_i1051" style="width:0;height:1.5pt" o:hralign="center" o:hrstd="t" o:hr="t" fillcolor="#a0a0a0" stroked="f"/>
        </w:pict>
      </w:r>
    </w:p>
    <w:p w14:paraId="1E11921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</w:p>
    <w:p w14:paraId="231E6841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forecasting</w:t>
      </w:r>
    </w:p>
    <w:p w14:paraId="60924EAB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management</w:t>
      </w:r>
    </w:p>
    <w:p w14:paraId="67E0D3C8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Banking relations</w:t>
      </w:r>
    </w:p>
    <w:p w14:paraId="37297B72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risk</w:t>
      </w:r>
    </w:p>
    <w:p w14:paraId="4D718B72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management</w:t>
      </w:r>
    </w:p>
    <w:p w14:paraId="17FF75C0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289E62C">
          <v:rect id="_x0000_i1052" style="width:0;height:1.5pt" o:hralign="center" o:hrstd="t" o:hr="t" fillcolor="#a0a0a0" stroked="f"/>
        </w:pict>
      </w:r>
    </w:p>
    <w:p w14:paraId="3E54F85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516"/>
        <w:gridCol w:w="1616"/>
        <w:gridCol w:w="1743"/>
        <w:gridCol w:w="1469"/>
      </w:tblGrid>
      <w:tr w:rsidR="00280B63" w:rsidRPr="00280B63" w14:paraId="0089D40D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5CC877F9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11AF7F26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14AD99AB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2ECE5D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3539AC0A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3D36B0EF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98B716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AR/AP</w:t>
            </w:r>
          </w:p>
        </w:tc>
        <w:tc>
          <w:tcPr>
            <w:tcW w:w="0" w:type="auto"/>
            <w:hideMark/>
          </w:tcPr>
          <w:p w14:paraId="77B4A1F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  <w:tc>
          <w:tcPr>
            <w:tcW w:w="0" w:type="auto"/>
            <w:hideMark/>
          </w:tcPr>
          <w:p w14:paraId="67B60693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4D2715D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report</w:t>
            </w:r>
          </w:p>
        </w:tc>
        <w:tc>
          <w:tcPr>
            <w:tcW w:w="0" w:type="auto"/>
            <w:hideMark/>
          </w:tcPr>
          <w:p w14:paraId="6F7D83D0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4DA1556C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E89BA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Banks</w:t>
            </w:r>
          </w:p>
        </w:tc>
        <w:tc>
          <w:tcPr>
            <w:tcW w:w="0" w:type="auto"/>
            <w:hideMark/>
          </w:tcPr>
          <w:p w14:paraId="72669AA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Statements</w:t>
            </w:r>
          </w:p>
        </w:tc>
        <w:tc>
          <w:tcPr>
            <w:tcW w:w="0" w:type="auto"/>
            <w:hideMark/>
          </w:tcPr>
          <w:p w14:paraId="6548030F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hideMark/>
          </w:tcPr>
          <w:p w14:paraId="16AA432C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position</w:t>
            </w:r>
          </w:p>
        </w:tc>
        <w:tc>
          <w:tcPr>
            <w:tcW w:w="0" w:type="auto"/>
            <w:hideMark/>
          </w:tcPr>
          <w:p w14:paraId="1CDFB7F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</w:tbl>
    <w:p w14:paraId="4156F02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4FF08A">
          <v:rect id="_x0000_i1053" style="width:0;height:1.5pt" o:hralign="center" o:hrstd="t" o:hr="t" fillcolor="#a0a0a0" stroked="f"/>
        </w:pict>
      </w:r>
    </w:p>
    <w:p w14:paraId="3F47821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3556DDF0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ratio</w:t>
      </w:r>
    </w:p>
    <w:p w14:paraId="608D0665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conversion cycle</w:t>
      </w:r>
    </w:p>
    <w:p w14:paraId="1D3B321A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exposure %</w:t>
      </w:r>
    </w:p>
    <w:p w14:paraId="02FDC805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Idle cash ratio</w:t>
      </w:r>
    </w:p>
    <w:p w14:paraId="5CEF209C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CBADB4">
          <v:rect id="_x0000_i1054" style="width:0;height:1.5pt" o:hralign="center" o:hrstd="t" o:hr="t" fillcolor="#a0a0a0" stroked="f"/>
        </w:pict>
      </w:r>
    </w:p>
    <w:p w14:paraId="5CC2F4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SAP Modules</w:t>
      </w:r>
    </w:p>
    <w:p w14:paraId="3E33CF00" w14:textId="77777777" w:rsidR="00280B63" w:rsidRPr="00280B63" w:rsidRDefault="00280B63" w:rsidP="00280B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Treasury</w:t>
      </w:r>
    </w:p>
    <w:p w14:paraId="649912C2" w14:textId="77777777" w:rsidR="00280B63" w:rsidRPr="00280B63" w:rsidRDefault="00280B63" w:rsidP="00280B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Cash Management</w:t>
      </w:r>
    </w:p>
    <w:p w14:paraId="5F717B8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8D3CED9">
          <v:rect id="_x0000_i1055" style="width:0;height:1.5pt" o:hralign="center" o:hrstd="t" o:hr="t" fillcolor="#a0a0a0" stroked="f"/>
        </w:pict>
      </w:r>
    </w:p>
    <w:p w14:paraId="1F9E0A0C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0CF433D2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F-11-40 Cash Forecast Template</w:t>
      </w:r>
    </w:p>
    <w:p w14:paraId="0F74C161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F-11-41 Bank Reconciliation Sheet</w:t>
      </w:r>
    </w:p>
    <w:p w14:paraId="0D2B61A9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F-11-42 FX Exposure Register</w:t>
      </w:r>
    </w:p>
    <w:p w14:paraId="544E4571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B3296F">
          <v:rect id="_x0000_i1056" style="width:0;height:1.5pt" o:hralign="center" o:hrstd="t" o:hr="t" fillcolor="#a0a0a0" stroked="f"/>
        </w:pict>
      </w:r>
    </w:p>
    <w:p w14:paraId="59CAF0F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11.6 Financial Reporting</w:t>
      </w:r>
    </w:p>
    <w:p w14:paraId="598B29A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494F8E">
          <v:rect id="_x0000_i1057" style="width:0;height:1.5pt" o:hralign="center" o:hrstd="t" o:hr="t" fillcolor="#a0a0a0" stroked="f"/>
        </w:pict>
      </w:r>
    </w:p>
    <w:p w14:paraId="4ACA5B3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11.6.1 Monthly Close Procedure</w:t>
      </w:r>
    </w:p>
    <w:p w14:paraId="501A1B8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Steps</w:t>
      </w:r>
    </w:p>
    <w:p w14:paraId="149E0B7E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Cut-off date control</w:t>
      </w:r>
    </w:p>
    <w:p w14:paraId="0E2B9C45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Accruals booking</w:t>
      </w:r>
    </w:p>
    <w:p w14:paraId="3A16BF16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Depreciation posting</w:t>
      </w:r>
    </w:p>
    <w:p w14:paraId="15AD756D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Intercompany reconciliation</w:t>
      </w:r>
    </w:p>
    <w:p w14:paraId="3A7EA68C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Trial balance review</w:t>
      </w:r>
    </w:p>
    <w:p w14:paraId="27C81B6F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CFO certification</w:t>
      </w:r>
    </w:p>
    <w:p w14:paraId="42D12B3E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7DD852">
          <v:rect id="_x0000_i1058" style="width:0;height:1.5pt" o:hralign="center" o:hrstd="t" o:hr="t" fillcolor="#a0a0a0" stroked="f"/>
        </w:pict>
      </w:r>
    </w:p>
    <w:p w14:paraId="6D74D305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35D05D6E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to close (&lt;5 days)</w:t>
      </w:r>
    </w:p>
    <w:p w14:paraId="159D0D1F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Adjustment frequency</w:t>
      </w:r>
    </w:p>
    <w:p w14:paraId="450D0EAA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findings</w:t>
      </w:r>
    </w:p>
    <w:p w14:paraId="20F876A3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E0A48B">
          <v:rect id="_x0000_i1059" style="width:0;height:1.5pt" o:hralign="center" o:hrstd="t" o:hr="t" fillcolor="#a0a0a0" stroked="f"/>
        </w:pict>
      </w:r>
    </w:p>
    <w:p w14:paraId="76EC0DC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Reports</w:t>
      </w:r>
    </w:p>
    <w:p w14:paraId="58D863FA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Balance Sheet</w:t>
      </w:r>
    </w:p>
    <w:p w14:paraId="008056F3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P&amp;L</w:t>
      </w:r>
    </w:p>
    <w:p w14:paraId="569455AF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Flow</w:t>
      </w:r>
    </w:p>
    <w:p w14:paraId="13A7F744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Management Dashboard</w:t>
      </w:r>
    </w:p>
    <w:p w14:paraId="2DC59EB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61551EC">
          <v:rect id="_x0000_i1060" style="width:0;height:1.5pt" o:hralign="center" o:hrstd="t" o:hr="t" fillcolor="#a0a0a0" stroked="f"/>
        </w:pict>
      </w:r>
    </w:p>
    <w:p w14:paraId="11673A2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11.7 Tax &amp; Regulatory Compliance</w:t>
      </w:r>
    </w:p>
    <w:p w14:paraId="402F02A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F49404">
          <v:rect id="_x0000_i1061" style="width:0;height:1.5pt" o:hralign="center" o:hrstd="t" o:hr="t" fillcolor="#a0a0a0" stroked="f"/>
        </w:pict>
      </w:r>
    </w:p>
    <w:p w14:paraId="6685664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</w:p>
    <w:p w14:paraId="26B1B90A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tax</w:t>
      </w:r>
    </w:p>
    <w:p w14:paraId="0B148928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VAT</w:t>
      </w:r>
    </w:p>
    <w:p w14:paraId="2DDE72D0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Withholding tax</w:t>
      </w:r>
    </w:p>
    <w:p w14:paraId="49E760A4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Zakat (if applicable)</w:t>
      </w:r>
    </w:p>
    <w:p w14:paraId="4C734D91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External audit</w:t>
      </w:r>
    </w:p>
    <w:p w14:paraId="7E739348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3DF29A8">
          <v:rect id="_x0000_i1062" style="width:0;height:1.5pt" o:hralign="center" o:hrstd="t" o:hr="t" fillcolor="#a0a0a0" stroked="f"/>
        </w:pict>
      </w:r>
    </w:p>
    <w:p w14:paraId="32E628AB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</w:p>
    <w:p w14:paraId="42B2F72C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calendar</w:t>
      </w:r>
    </w:p>
    <w:p w14:paraId="66C11EA9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Filing verification</w:t>
      </w:r>
    </w:p>
    <w:p w14:paraId="19C224C5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review</w:t>
      </w:r>
    </w:p>
    <w:p w14:paraId="48095835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External audit coordination</w:t>
      </w:r>
    </w:p>
    <w:p w14:paraId="2989BD6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34DE175">
          <v:rect id="_x0000_i1063" style="width:0;height:1.5pt" o:hralign="center" o:hrstd="t" o:hr="t" fillcolor="#a0a0a0" stroked="f"/>
        </w:pict>
      </w:r>
    </w:p>
    <w:p w14:paraId="2433CB3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72080306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F-11-50 Tax Filing Checklist</w:t>
      </w:r>
    </w:p>
    <w:p w14:paraId="3868FBA9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F-11-51 Audit Evidence Log</w:t>
      </w:r>
    </w:p>
    <w:p w14:paraId="2E8B4D40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F-11-52 Regulatory Compliance Register</w:t>
      </w:r>
    </w:p>
    <w:p w14:paraId="311F555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CF0DA9">
          <v:rect id="_x0000_i1064" style="width:0;height:1.5pt" o:hralign="center" o:hrstd="t" o:hr="t" fillcolor="#a0a0a0" stroked="f"/>
        </w:pict>
      </w:r>
    </w:p>
    <w:p w14:paraId="1A1989D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11.8 Internal Controls &amp; Financial Risk</w:t>
      </w:r>
    </w:p>
    <w:p w14:paraId="60CA4038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Aligned with:</w:t>
      </w:r>
    </w:p>
    <w:p w14:paraId="4A0E7DE2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29002344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Compliance Management</w:t>
      </w:r>
    </w:p>
    <w:p w14:paraId="0555AB38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Enterprise Risk Management</w:t>
      </w:r>
    </w:p>
    <w:p w14:paraId="429629B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4BE328">
          <v:rect id="_x0000_i1065" style="width:0;height:1.5pt" o:hralign="center" o:hrstd="t" o:hr="t" fillcolor="#a0a0a0" stroked="f"/>
        </w:pict>
      </w:r>
    </w:p>
    <w:p w14:paraId="15CADE9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Risk &amp; Control Matrix (Sample Extract)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16"/>
        <w:gridCol w:w="2103"/>
        <w:gridCol w:w="1243"/>
        <w:gridCol w:w="1503"/>
        <w:gridCol w:w="1323"/>
      </w:tblGrid>
      <w:tr w:rsidR="00280B63" w:rsidRPr="00280B63" w14:paraId="66764516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22CA3EE5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3DB8A38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5852549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98330CA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8F3A7B9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280B63" w:rsidRPr="00280B63" w14:paraId="3DA365F0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557DF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Fraudulent payments</w:t>
            </w:r>
          </w:p>
        </w:tc>
        <w:tc>
          <w:tcPr>
            <w:tcW w:w="0" w:type="auto"/>
            <w:hideMark/>
          </w:tcPr>
          <w:p w14:paraId="1949020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Dual approval</w:t>
            </w:r>
          </w:p>
        </w:tc>
        <w:tc>
          <w:tcPr>
            <w:tcW w:w="0" w:type="auto"/>
            <w:hideMark/>
          </w:tcPr>
          <w:p w14:paraId="20DF44E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3062DF2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hideMark/>
          </w:tcPr>
          <w:p w14:paraId="5C18C75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</w:tr>
      <w:tr w:rsidR="00280B63" w:rsidRPr="00280B63" w14:paraId="7AEC73FE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8A772A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misstatement</w:t>
            </w:r>
          </w:p>
        </w:tc>
        <w:tc>
          <w:tcPr>
            <w:tcW w:w="0" w:type="auto"/>
            <w:hideMark/>
          </w:tcPr>
          <w:p w14:paraId="1B0A4AF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</w:t>
            </w:r>
          </w:p>
        </w:tc>
        <w:tc>
          <w:tcPr>
            <w:tcW w:w="0" w:type="auto"/>
            <w:hideMark/>
          </w:tcPr>
          <w:p w14:paraId="74EAD539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002D055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6FF4AFC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280B63" w:rsidRPr="00280B63" w14:paraId="3C57541B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ADE4B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theft</w:t>
            </w:r>
          </w:p>
        </w:tc>
        <w:tc>
          <w:tcPr>
            <w:tcW w:w="0" w:type="auto"/>
            <w:hideMark/>
          </w:tcPr>
          <w:p w14:paraId="739EC95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reconciliation</w:t>
            </w:r>
          </w:p>
        </w:tc>
        <w:tc>
          <w:tcPr>
            <w:tcW w:w="0" w:type="auto"/>
            <w:hideMark/>
          </w:tcPr>
          <w:p w14:paraId="2DA0317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7596175D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hideMark/>
          </w:tcPr>
          <w:p w14:paraId="1A0B3E07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280B63" w:rsidRPr="00280B63" w14:paraId="2AA5C5DE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42672C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penalty</w:t>
            </w:r>
          </w:p>
        </w:tc>
        <w:tc>
          <w:tcPr>
            <w:tcW w:w="0" w:type="auto"/>
            <w:hideMark/>
          </w:tcPr>
          <w:p w14:paraId="777CFB3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Filing calendar</w:t>
            </w:r>
          </w:p>
        </w:tc>
        <w:tc>
          <w:tcPr>
            <w:tcW w:w="0" w:type="auto"/>
            <w:hideMark/>
          </w:tcPr>
          <w:p w14:paraId="10BF67E5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1A018519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Manager</w:t>
            </w:r>
          </w:p>
        </w:tc>
        <w:tc>
          <w:tcPr>
            <w:tcW w:w="0" w:type="auto"/>
            <w:hideMark/>
          </w:tcPr>
          <w:p w14:paraId="475BDFC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</w:tbl>
    <w:p w14:paraId="34A49BE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5682C6">
          <v:rect id="_x0000_i1066" style="width:0;height:1.5pt" o:hralign="center" o:hrstd="t" o:hr="t" fillcolor="#a0a0a0" stroked="f"/>
        </w:pict>
      </w:r>
    </w:p>
    <w:p w14:paraId="29FEE1D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Financial Process Architecture Layer</w:t>
      </w:r>
    </w:p>
    <w:p w14:paraId="322AA98E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L0 – Financial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L1 – Planning &amp; Budgeting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L2 – P2P (AP)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L3 – O2C (AR)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L4 – Treasury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L5 – Reporting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L6 – Compliance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L7 – Controls &amp; Audit</w:t>
      </w:r>
    </w:p>
    <w:p w14:paraId="29B78C1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E3A88A">
          <v:rect id="_x0000_i1067" style="width:0;height:1.5pt" o:hralign="center" o:hrstd="t" o:hr="t" fillcolor="#a0a0a0" stroked="f"/>
        </w:pict>
      </w:r>
    </w:p>
    <w:p w14:paraId="01874B72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Full Finance Document Register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7992"/>
      </w:tblGrid>
      <w:tr w:rsidR="00280B63" w:rsidRPr="00280B63" w14:paraId="3A1EE432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hideMark/>
          </w:tcPr>
          <w:p w14:paraId="3E660126" w14:textId="77777777" w:rsidR="00280B63" w:rsidRPr="00280B63" w:rsidRDefault="00280B63" w:rsidP="00280B6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992" w:type="dxa"/>
            <w:shd w:val="clear" w:color="auto" w:fill="002060"/>
            <w:hideMark/>
          </w:tcPr>
          <w:p w14:paraId="6A46D323" w14:textId="77777777" w:rsidR="00280B63" w:rsidRPr="00280B63" w:rsidRDefault="00280B63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</w:t>
            </w:r>
          </w:p>
        </w:tc>
      </w:tr>
      <w:tr w:rsidR="00280B63" w:rsidRPr="00280B63" w14:paraId="553D1C86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51D0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F-11-01</w:t>
            </w:r>
          </w:p>
        </w:tc>
        <w:tc>
          <w:tcPr>
            <w:tcW w:w="7992" w:type="dxa"/>
            <w:hideMark/>
          </w:tcPr>
          <w:p w14:paraId="00D70DE8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Request</w:t>
            </w:r>
          </w:p>
        </w:tc>
      </w:tr>
      <w:tr w:rsidR="00280B63" w:rsidRPr="00280B63" w14:paraId="1D97F4DC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C371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F-11-10</w:t>
            </w:r>
          </w:p>
        </w:tc>
        <w:tc>
          <w:tcPr>
            <w:tcW w:w="7992" w:type="dxa"/>
            <w:hideMark/>
          </w:tcPr>
          <w:p w14:paraId="4C596C2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Budget</w:t>
            </w:r>
          </w:p>
        </w:tc>
      </w:tr>
      <w:tr w:rsidR="00280B63" w:rsidRPr="00280B63" w14:paraId="497278F2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94EB9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F-11-20</w:t>
            </w:r>
          </w:p>
        </w:tc>
        <w:tc>
          <w:tcPr>
            <w:tcW w:w="7992" w:type="dxa"/>
            <w:hideMark/>
          </w:tcPr>
          <w:p w14:paraId="396DEEE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Log</w:t>
            </w:r>
          </w:p>
        </w:tc>
      </w:tr>
      <w:tr w:rsidR="00280B63" w:rsidRPr="00280B63" w14:paraId="08550448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6A6C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F-11-30</w:t>
            </w:r>
          </w:p>
        </w:tc>
        <w:tc>
          <w:tcPr>
            <w:tcW w:w="7992" w:type="dxa"/>
            <w:hideMark/>
          </w:tcPr>
          <w:p w14:paraId="798898A6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Credit Approval</w:t>
            </w:r>
          </w:p>
        </w:tc>
      </w:tr>
      <w:tr w:rsidR="00280B63" w:rsidRPr="00280B63" w14:paraId="39EC1949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1E7E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F-11-40</w:t>
            </w:r>
          </w:p>
        </w:tc>
        <w:tc>
          <w:tcPr>
            <w:tcW w:w="7992" w:type="dxa"/>
            <w:hideMark/>
          </w:tcPr>
          <w:p w14:paraId="3879F65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</w:tr>
      <w:tr w:rsidR="00280B63" w:rsidRPr="00280B63" w14:paraId="6C19A624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2C968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F-11-50</w:t>
            </w:r>
          </w:p>
        </w:tc>
        <w:tc>
          <w:tcPr>
            <w:tcW w:w="7992" w:type="dxa"/>
            <w:hideMark/>
          </w:tcPr>
          <w:p w14:paraId="674563FC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Checklist</w:t>
            </w:r>
          </w:p>
        </w:tc>
      </w:tr>
    </w:tbl>
    <w:p w14:paraId="2F07ACFD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6C5A255">
          <v:rect id="_x0000_i1068" style="width:0;height:1.5pt" o:hralign="center" o:hrstd="t" o:hr="t" fillcolor="#a0a0a0" stroked="f"/>
        </w:pict>
      </w:r>
    </w:p>
    <w:p w14:paraId="54842DC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Maturity Levels (Scoring 1–5)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6"/>
        <w:gridCol w:w="8219"/>
      </w:tblGrid>
      <w:tr w:rsidR="00280B63" w:rsidRPr="00280B63" w14:paraId="424549C3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DDC9975" w14:textId="77777777" w:rsidR="00280B63" w:rsidRPr="00280B63" w:rsidRDefault="00280B63" w:rsidP="00280B6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8219" w:type="dxa"/>
            <w:shd w:val="clear" w:color="auto" w:fill="0E2841" w:themeFill="text2"/>
            <w:vAlign w:val="center"/>
            <w:hideMark/>
          </w:tcPr>
          <w:p w14:paraId="42F814DD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280B63" w:rsidRPr="00280B63" w14:paraId="1F216D35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B91C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8219" w:type="dxa"/>
            <w:hideMark/>
          </w:tcPr>
          <w:p w14:paraId="5D83AA19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Manual, reactive</w:t>
            </w:r>
          </w:p>
        </w:tc>
      </w:tr>
      <w:tr w:rsidR="00280B63" w:rsidRPr="00280B63" w14:paraId="261CD3B0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741D9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8219" w:type="dxa"/>
            <w:hideMark/>
          </w:tcPr>
          <w:p w14:paraId="7456197D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controls</w:t>
            </w:r>
          </w:p>
        </w:tc>
      </w:tr>
      <w:tr w:rsidR="00280B63" w:rsidRPr="00280B63" w14:paraId="6C57CEFA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1C368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8219" w:type="dxa"/>
            <w:hideMark/>
          </w:tcPr>
          <w:p w14:paraId="67E236A9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Standardized, SAP integrated</w:t>
            </w:r>
          </w:p>
        </w:tc>
      </w:tr>
      <w:tr w:rsidR="00280B63" w:rsidRPr="00280B63" w14:paraId="0206BDFD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AC4800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8219" w:type="dxa"/>
            <w:hideMark/>
          </w:tcPr>
          <w:p w14:paraId="0F531985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Data-driven</w:t>
            </w:r>
          </w:p>
        </w:tc>
      </w:tr>
      <w:tr w:rsidR="00280B63" w:rsidRPr="00280B63" w14:paraId="090C900A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34F00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5</w:t>
            </w:r>
          </w:p>
        </w:tc>
        <w:tc>
          <w:tcPr>
            <w:tcW w:w="8219" w:type="dxa"/>
            <w:hideMark/>
          </w:tcPr>
          <w:p w14:paraId="14EAA6C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&amp; automated</w:t>
            </w:r>
          </w:p>
        </w:tc>
      </w:tr>
    </w:tbl>
    <w:p w14:paraId="41FE732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F15572">
          <v:rect id="_x0000_i1069" style="width:0;height:1.5pt" o:hralign="center" o:hrstd="t" o:hr="t" fillcolor="#a0a0a0" stroked="f"/>
        </w:pict>
      </w:r>
    </w:p>
    <w:p w14:paraId="59945664" w14:textId="4048AEAA" w:rsidR="00280B63" w:rsidRPr="00280B63" w:rsidRDefault="00C7462E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7462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to do</w:t>
      </w:r>
    </w:p>
    <w:p w14:paraId="2AC30F26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Full BPMN visual diagrams (board-ready)</w:t>
      </w:r>
    </w:p>
    <w:p w14:paraId="1828EFF6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Complete SAP configuration mapping</w:t>
      </w:r>
    </w:p>
    <w:p w14:paraId="758A6AF5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Full COSO Control Matrix expanded (100+ risks)</w:t>
      </w:r>
    </w:p>
    <w:p w14:paraId="5A363ADA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organizational structure</w:t>
      </w:r>
    </w:p>
    <w:p w14:paraId="6D7CB527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policy formatted as official manual PDF</w:t>
      </w:r>
    </w:p>
    <w:p w14:paraId="643E91F3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Integrated Finance Dashboard Architecture</w:t>
      </w:r>
    </w:p>
    <w:p w14:paraId="4F720FFC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Integration with </w:t>
      </w:r>
      <w:proofErr w:type="spellStart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Risk_Compliance</w:t>
      </w:r>
      <w:proofErr w:type="spellEnd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(07) and Performance (06)</w:t>
      </w:r>
    </w:p>
    <w:p w14:paraId="65DC2849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Tell me which layer we develop next.</w:t>
      </w:r>
    </w:p>
    <w:p w14:paraId="4A026E62" w14:textId="77777777" w:rsidR="00280B63" w:rsidRPr="00280B63" w:rsidRDefault="00280B63" w:rsidP="00280B63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280B63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5A5174B9" w14:textId="77777777" w:rsidR="00280B63" w:rsidRPr="00280B63" w:rsidRDefault="00280B63" w:rsidP="00280B63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280B63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1241F43F" w14:textId="77777777" w:rsidR="009650D2" w:rsidRDefault="009650D2"/>
    <w:sectPr w:rsidR="009650D2" w:rsidSect="00280B63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AE35" w14:textId="77777777" w:rsidR="0069536D" w:rsidRDefault="0069536D" w:rsidP="00280B63">
      <w:pPr>
        <w:spacing w:after="0" w:line="240" w:lineRule="auto"/>
      </w:pPr>
      <w:r>
        <w:separator/>
      </w:r>
    </w:p>
  </w:endnote>
  <w:endnote w:type="continuationSeparator" w:id="0">
    <w:p w14:paraId="567A8A11" w14:textId="77777777" w:rsidR="0069536D" w:rsidRDefault="0069536D" w:rsidP="00280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949698028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E585E81" w14:textId="7DD3EAD5" w:rsidR="00C7462E" w:rsidRDefault="00C7462E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127A5E84" w14:textId="77777777" w:rsidR="00280B63" w:rsidRDefault="00280B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CAB39" w14:textId="77777777" w:rsidR="0069536D" w:rsidRDefault="0069536D" w:rsidP="00280B63">
      <w:pPr>
        <w:spacing w:after="0" w:line="240" w:lineRule="auto"/>
      </w:pPr>
      <w:r>
        <w:separator/>
      </w:r>
    </w:p>
  </w:footnote>
  <w:footnote w:type="continuationSeparator" w:id="0">
    <w:p w14:paraId="5685245D" w14:textId="77777777" w:rsidR="0069536D" w:rsidRDefault="0069536D" w:rsidP="00280B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FD3BE" w14:textId="605F4827" w:rsidR="00280B63" w:rsidRDefault="00280B63" w:rsidP="00280B63">
    <w:pPr>
      <w:pStyle w:val="Header"/>
    </w:pPr>
    <w:r w:rsidRPr="00280B63">
      <w:t>L0 – ENTERPRISE ENABLERS (Cross-Cutting)</w:t>
    </w:r>
    <w:r>
      <w:rPr>
        <w:rFonts w:hint="cs"/>
        <w:rtl/>
      </w:rPr>
      <w:t xml:space="preserve"> - </w:t>
    </w:r>
    <w:r w:rsidRPr="00280B63">
      <w:t>L_0_11_Finance_Accounting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668E"/>
    <w:multiLevelType w:val="multilevel"/>
    <w:tmpl w:val="61B6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F4D2A"/>
    <w:multiLevelType w:val="multilevel"/>
    <w:tmpl w:val="F308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930EC"/>
    <w:multiLevelType w:val="multilevel"/>
    <w:tmpl w:val="1C6C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C4C3D"/>
    <w:multiLevelType w:val="multilevel"/>
    <w:tmpl w:val="EAA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462A9"/>
    <w:multiLevelType w:val="multilevel"/>
    <w:tmpl w:val="5C62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54D21"/>
    <w:multiLevelType w:val="multilevel"/>
    <w:tmpl w:val="5EA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26709"/>
    <w:multiLevelType w:val="multilevel"/>
    <w:tmpl w:val="170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92AE0"/>
    <w:multiLevelType w:val="multilevel"/>
    <w:tmpl w:val="3F10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481F9E"/>
    <w:multiLevelType w:val="hybridMultilevel"/>
    <w:tmpl w:val="518E204C"/>
    <w:lvl w:ilvl="0" w:tplc="3A564CCA">
      <w:start w:val="1"/>
      <w:numFmt w:val="bullet"/>
      <w:lvlText w:val="►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C73D9"/>
    <w:multiLevelType w:val="multilevel"/>
    <w:tmpl w:val="35FC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97B57"/>
    <w:multiLevelType w:val="multilevel"/>
    <w:tmpl w:val="0276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B92F0D"/>
    <w:multiLevelType w:val="multilevel"/>
    <w:tmpl w:val="82B49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057A9"/>
    <w:multiLevelType w:val="multilevel"/>
    <w:tmpl w:val="83F2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93733"/>
    <w:multiLevelType w:val="multilevel"/>
    <w:tmpl w:val="D122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191935"/>
    <w:multiLevelType w:val="multilevel"/>
    <w:tmpl w:val="8732E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AC3B54"/>
    <w:multiLevelType w:val="multilevel"/>
    <w:tmpl w:val="732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8D23C8"/>
    <w:multiLevelType w:val="multilevel"/>
    <w:tmpl w:val="D4AED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A47A1C"/>
    <w:multiLevelType w:val="multilevel"/>
    <w:tmpl w:val="C25A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65463B"/>
    <w:multiLevelType w:val="multilevel"/>
    <w:tmpl w:val="239C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DB7436"/>
    <w:multiLevelType w:val="multilevel"/>
    <w:tmpl w:val="FF5AA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15AA7"/>
    <w:multiLevelType w:val="multilevel"/>
    <w:tmpl w:val="0B24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182F58"/>
    <w:multiLevelType w:val="multilevel"/>
    <w:tmpl w:val="0E10E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807DE2"/>
    <w:multiLevelType w:val="multilevel"/>
    <w:tmpl w:val="1ABA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7646ED"/>
    <w:multiLevelType w:val="multilevel"/>
    <w:tmpl w:val="7C204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943AE2"/>
    <w:multiLevelType w:val="multilevel"/>
    <w:tmpl w:val="6F4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7808B2"/>
    <w:multiLevelType w:val="multilevel"/>
    <w:tmpl w:val="70EC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B4452E"/>
    <w:multiLevelType w:val="multilevel"/>
    <w:tmpl w:val="6CB6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75AD9"/>
    <w:multiLevelType w:val="multilevel"/>
    <w:tmpl w:val="E80C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6A0F1B"/>
    <w:multiLevelType w:val="multilevel"/>
    <w:tmpl w:val="5138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4329002">
    <w:abstractNumId w:val="3"/>
  </w:num>
  <w:num w:numId="2" w16cid:durableId="469401002">
    <w:abstractNumId w:val="9"/>
  </w:num>
  <w:num w:numId="3" w16cid:durableId="2006977417">
    <w:abstractNumId w:val="12"/>
  </w:num>
  <w:num w:numId="4" w16cid:durableId="365328329">
    <w:abstractNumId w:val="15"/>
  </w:num>
  <w:num w:numId="5" w16cid:durableId="2087216679">
    <w:abstractNumId w:val="7"/>
  </w:num>
  <w:num w:numId="6" w16cid:durableId="1300067667">
    <w:abstractNumId w:val="11"/>
  </w:num>
  <w:num w:numId="7" w16cid:durableId="1608778621">
    <w:abstractNumId w:val="17"/>
  </w:num>
  <w:num w:numId="8" w16cid:durableId="1571310919">
    <w:abstractNumId w:val="20"/>
  </w:num>
  <w:num w:numId="9" w16cid:durableId="588660437">
    <w:abstractNumId w:val="24"/>
  </w:num>
  <w:num w:numId="10" w16cid:durableId="233515286">
    <w:abstractNumId w:val="14"/>
  </w:num>
  <w:num w:numId="11" w16cid:durableId="1054425861">
    <w:abstractNumId w:val="22"/>
  </w:num>
  <w:num w:numId="12" w16cid:durableId="1038511394">
    <w:abstractNumId w:val="6"/>
  </w:num>
  <w:num w:numId="13" w16cid:durableId="1656177346">
    <w:abstractNumId w:val="1"/>
  </w:num>
  <w:num w:numId="14" w16cid:durableId="633410087">
    <w:abstractNumId w:val="23"/>
  </w:num>
  <w:num w:numId="15" w16cid:durableId="1199397863">
    <w:abstractNumId w:val="2"/>
  </w:num>
  <w:num w:numId="16" w16cid:durableId="1798833441">
    <w:abstractNumId w:val="0"/>
  </w:num>
  <w:num w:numId="17" w16cid:durableId="1016270562">
    <w:abstractNumId w:val="21"/>
  </w:num>
  <w:num w:numId="18" w16cid:durableId="790051134">
    <w:abstractNumId w:val="28"/>
  </w:num>
  <w:num w:numId="19" w16cid:durableId="262151222">
    <w:abstractNumId w:val="10"/>
  </w:num>
  <w:num w:numId="20" w16cid:durableId="1364743218">
    <w:abstractNumId w:val="4"/>
  </w:num>
  <w:num w:numId="21" w16cid:durableId="398866555">
    <w:abstractNumId w:val="16"/>
  </w:num>
  <w:num w:numId="22" w16cid:durableId="1272981250">
    <w:abstractNumId w:val="5"/>
  </w:num>
  <w:num w:numId="23" w16cid:durableId="1570653621">
    <w:abstractNumId w:val="13"/>
  </w:num>
  <w:num w:numId="24" w16cid:durableId="1645892855">
    <w:abstractNumId w:val="26"/>
  </w:num>
  <w:num w:numId="25" w16cid:durableId="706636746">
    <w:abstractNumId w:val="19"/>
  </w:num>
  <w:num w:numId="26" w16cid:durableId="1030298901">
    <w:abstractNumId w:val="27"/>
  </w:num>
  <w:num w:numId="27" w16cid:durableId="756246058">
    <w:abstractNumId w:val="25"/>
  </w:num>
  <w:num w:numId="28" w16cid:durableId="1947613030">
    <w:abstractNumId w:val="18"/>
  </w:num>
  <w:num w:numId="29" w16cid:durableId="1809476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B63"/>
    <w:rsid w:val="00006503"/>
    <w:rsid w:val="000255D3"/>
    <w:rsid w:val="000B6FB0"/>
    <w:rsid w:val="001A217F"/>
    <w:rsid w:val="00280B63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69536D"/>
    <w:rsid w:val="009650D2"/>
    <w:rsid w:val="009D2EA6"/>
    <w:rsid w:val="00AB6B21"/>
    <w:rsid w:val="00B70AAC"/>
    <w:rsid w:val="00C7462E"/>
    <w:rsid w:val="00C80371"/>
    <w:rsid w:val="00CC6EB7"/>
    <w:rsid w:val="00D613DB"/>
    <w:rsid w:val="00DE12BB"/>
    <w:rsid w:val="00EC6380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C9170"/>
  <w15:chartTrackingRefBased/>
  <w15:docId w15:val="{71713290-6F75-4AFD-A1E0-B7894C68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0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B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B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B63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B63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B63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B63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B63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B63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B63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280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B63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B63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280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B63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280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B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B63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280B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80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0B63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280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0B63"/>
    <w:rPr>
      <w:lang w:val="en-US" w:bidi="ar-EG"/>
    </w:rPr>
  </w:style>
  <w:style w:type="table" w:styleId="PlainTable1">
    <w:name w:val="Plain Table 1"/>
    <w:basedOn w:val="TableNormal"/>
    <w:uiPriority w:val="41"/>
    <w:rsid w:val="00C746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1026</Words>
  <Characters>5852</Characters>
  <Application>Microsoft Office Word</Application>
  <DocSecurity>0</DocSecurity>
  <Lines>48</Lines>
  <Paragraphs>13</Paragraphs>
  <ScaleCrop>false</ScaleCrop>
  <Company/>
  <LinksUpToDate>false</LinksUpToDate>
  <CharactersWithSpaces>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2</cp:revision>
  <dcterms:created xsi:type="dcterms:W3CDTF">2026-03-10T02:05:00Z</dcterms:created>
  <dcterms:modified xsi:type="dcterms:W3CDTF">2026-03-10T02:05:00Z</dcterms:modified>
</cp:coreProperties>
</file>