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4D4855" w14:textId="77777777" w:rsidR="00CF2E15" w:rsidRPr="00CF2E15" w:rsidRDefault="00CF2E15" w:rsidP="00A73DF9">
      <w:pPr>
        <w:shd w:val="clear" w:color="auto" w:fill="0E2841" w:themeFill="text2"/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14_Human_Resources_Interface</w:t>
      </w:r>
    </w:p>
    <w:p w14:paraId="4BDCCA1B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:lang w:val="en-GB" w:eastAsia="en-GB" w:bidi="ar-SA"/>
          <w14:ligatures w14:val="none"/>
        </w:rPr>
        <w:t>(RAM Policies &amp; Procedures Manual – HR Interface Framework)</w:t>
      </w:r>
    </w:p>
    <w:p w14:paraId="704256DB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93B9738">
          <v:rect id="_x0000_i1025" style="width:0;height:1.5pt" o:hralign="center" o:hrstd="t" o:hr="t" fillcolor="#a0a0a0" stroked="f"/>
        </w:pict>
      </w:r>
    </w:p>
    <w:p w14:paraId="3C0B02B9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14.1 Human Resources Governance Policy</w:t>
      </w:r>
    </w:p>
    <w:p w14:paraId="0D745418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Purpose:</w:t>
      </w: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Establish structured coordination between Human Resources (HR) and all RAM functional divisions (Investment, Leasing, Facility, CapEx, Finance, Risk, AI, Procurement, Administration, etc.).</w:t>
      </w:r>
    </w:p>
    <w:p w14:paraId="42CACAE0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Scope:</w:t>
      </w: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br/>
        <w:t>All permanent, temporary, contract, and outsourced personnel across RAM.</w:t>
      </w:r>
    </w:p>
    <w:p w14:paraId="78D5C904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Objectives:</w:t>
      </w:r>
    </w:p>
    <w:p w14:paraId="3C8D8FE5" w14:textId="77777777" w:rsidR="00CF2E15" w:rsidRPr="00CF2E15" w:rsidRDefault="00CF2E15" w:rsidP="00CF2E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Ensure manpower alignment with strategy</w:t>
      </w:r>
    </w:p>
    <w:p w14:paraId="1DD61E55" w14:textId="77777777" w:rsidR="00CF2E15" w:rsidRPr="00CF2E15" w:rsidRDefault="00CF2E15" w:rsidP="00CF2E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Integrate workforce planning with business plans</w:t>
      </w:r>
    </w:p>
    <w:p w14:paraId="3A566A10" w14:textId="77777777" w:rsidR="00CF2E15" w:rsidRPr="00CF2E15" w:rsidRDefault="00CF2E15" w:rsidP="00CF2E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Establish clear HR–Business interface governance</w:t>
      </w:r>
    </w:p>
    <w:p w14:paraId="202FB0B8" w14:textId="77777777" w:rsidR="00CF2E15" w:rsidRPr="00CF2E15" w:rsidRDefault="00CF2E15" w:rsidP="00CF2E15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Align with ISO 30414 (Human Capital Reporting), ISO 37301, COSO</w:t>
      </w:r>
    </w:p>
    <w:p w14:paraId="609B5291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E252D31">
          <v:rect id="_x0000_i1026" style="width:0;height:1.5pt" o:hralign="center" o:hrstd="t" o:hr="t" fillcolor="#a0a0a0" stroked="f"/>
        </w:pict>
      </w:r>
    </w:p>
    <w:p w14:paraId="41BB68B5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14.2 HR Operating Model (Business Interface Architecture)</w:t>
      </w:r>
    </w:p>
    <w:p w14:paraId="4DACAE09" w14:textId="77777777" w:rsidR="00CF2E15" w:rsidRPr="00CF2E15" w:rsidRDefault="00CF2E15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noProof/>
          <w:kern w:val="0"/>
          <w:sz w:val="24"/>
          <w:szCs w:val="24"/>
          <w:lang w:val="en-GB" w:eastAsia="en-GB" w:bidi="ar-SA"/>
          <w14:ligatures w14:val="none"/>
        </w:rPr>
        <w:drawing>
          <wp:inline distT="0" distB="0" distL="0" distR="0" wp14:anchorId="1CAB4A58" wp14:editId="5BAA77B1">
            <wp:extent cx="5417888" cy="2851798"/>
            <wp:effectExtent l="0" t="0" r="0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7727" cy="28675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77A4" w14:textId="48E25F98" w:rsidR="00CF2E15" w:rsidRPr="00CF2E15" w:rsidRDefault="00CF2E15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5803CFC1" w14:textId="2F0048F4" w:rsidR="00CF2E15" w:rsidRPr="00CF2E15" w:rsidRDefault="00CF2E15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2545FEA6" w14:textId="77777777" w:rsidR="00CF2E15" w:rsidRPr="00CF2E15" w:rsidRDefault="00CF2E15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4</w:t>
      </w:r>
    </w:p>
    <w:p w14:paraId="0946F07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14.2.1 HR Structure Model for RAM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56"/>
        <w:gridCol w:w="3867"/>
        <w:gridCol w:w="3693"/>
      </w:tblGrid>
      <w:tr w:rsidR="00CF2E15" w:rsidRPr="00CF2E15" w14:paraId="6A2A873F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01849826" w14:textId="77777777" w:rsidR="00CF2E15" w:rsidRPr="00CF2E15" w:rsidRDefault="00CF2E15" w:rsidP="00A73DF9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Layer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6CD87C6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Function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5DEA9F3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Role</w:t>
            </w:r>
          </w:p>
        </w:tc>
      </w:tr>
      <w:tr w:rsidR="00CF2E15" w:rsidRPr="00CF2E15" w14:paraId="45FA0F46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937006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</w:t>
            </w:r>
          </w:p>
        </w:tc>
        <w:tc>
          <w:tcPr>
            <w:tcW w:w="0" w:type="auto"/>
            <w:hideMark/>
          </w:tcPr>
          <w:p w14:paraId="3F3D84D9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Director</w:t>
            </w:r>
          </w:p>
        </w:tc>
        <w:tc>
          <w:tcPr>
            <w:tcW w:w="0" w:type="auto"/>
            <w:hideMark/>
          </w:tcPr>
          <w:p w14:paraId="361E5D9D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Workforce Strategy, Policy Governance</w:t>
            </w:r>
          </w:p>
        </w:tc>
      </w:tr>
      <w:tr w:rsidR="00CF2E15" w:rsidRPr="00CF2E15" w14:paraId="635EF694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28D5F6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Tactical</w:t>
            </w:r>
          </w:p>
        </w:tc>
        <w:tc>
          <w:tcPr>
            <w:tcW w:w="0" w:type="auto"/>
            <w:hideMark/>
          </w:tcPr>
          <w:p w14:paraId="2AA4F691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Business Partner (HRBP)</w:t>
            </w:r>
          </w:p>
        </w:tc>
        <w:tc>
          <w:tcPr>
            <w:tcW w:w="0" w:type="auto"/>
            <w:hideMark/>
          </w:tcPr>
          <w:p w14:paraId="1593D4FF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Interface with each Division</w:t>
            </w:r>
          </w:p>
        </w:tc>
      </w:tr>
      <w:tr w:rsidR="00CF2E15" w:rsidRPr="00CF2E15" w14:paraId="69C17011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67198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Operational</w:t>
            </w:r>
          </w:p>
        </w:tc>
        <w:tc>
          <w:tcPr>
            <w:tcW w:w="0" w:type="auto"/>
            <w:hideMark/>
          </w:tcPr>
          <w:p w14:paraId="56E0A84A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Operations</w:t>
            </w:r>
          </w:p>
        </w:tc>
        <w:tc>
          <w:tcPr>
            <w:tcW w:w="0" w:type="auto"/>
            <w:hideMark/>
          </w:tcPr>
          <w:p w14:paraId="03A4F11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Payroll, Admin, Records</w:t>
            </w:r>
          </w:p>
        </w:tc>
      </w:tr>
      <w:tr w:rsidR="00CF2E15" w:rsidRPr="00CF2E15" w14:paraId="11BD6BD2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F53A48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Specialist</w:t>
            </w:r>
          </w:p>
        </w:tc>
        <w:tc>
          <w:tcPr>
            <w:tcW w:w="0" w:type="auto"/>
            <w:hideMark/>
          </w:tcPr>
          <w:p w14:paraId="26C9AA88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COEs (Talent, L&amp;D, Compensation, OD)</w:t>
            </w:r>
          </w:p>
        </w:tc>
        <w:tc>
          <w:tcPr>
            <w:tcW w:w="0" w:type="auto"/>
            <w:hideMark/>
          </w:tcPr>
          <w:p w14:paraId="219FFD19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Technical Expertise</w:t>
            </w:r>
          </w:p>
        </w:tc>
      </w:tr>
    </w:tbl>
    <w:p w14:paraId="2ADE128F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3436F37">
          <v:rect id="_x0000_i1027" style="width:0;height:1.5pt" o:hralign="center" o:hrstd="t" o:hr="t" fillcolor="#a0a0a0" stroked="f"/>
        </w:pict>
      </w:r>
    </w:p>
    <w:p w14:paraId="247AC56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14.3 Core HR Interface Processes (WBS Structure)</w:t>
      </w:r>
    </w:p>
    <w:p w14:paraId="14F4B965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14.3.1 Workforce Planning Interface</w:t>
      </w:r>
    </w:p>
    <w:p w14:paraId="0B792685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14.3.1.1 Annual Manpower Planning Procedure</w:t>
      </w:r>
    </w:p>
    <w:p w14:paraId="41C77317" w14:textId="77777777" w:rsidR="00CF2E15" w:rsidRPr="00CF2E15" w:rsidRDefault="00CF2E15" w:rsidP="00CF2E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Business Units submit manpower forecast</w:t>
      </w:r>
    </w:p>
    <w:p w14:paraId="1B970ABB" w14:textId="77777777" w:rsidR="00CF2E15" w:rsidRPr="00CF2E15" w:rsidRDefault="00CF2E15" w:rsidP="00CF2E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HR validates against budget (Finance)</w:t>
      </w:r>
    </w:p>
    <w:p w14:paraId="0C836574" w14:textId="77777777" w:rsidR="00CF2E15" w:rsidRPr="00CF2E15" w:rsidRDefault="00CF2E15" w:rsidP="00CF2E15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Approval via Management Committee</w:t>
      </w:r>
    </w:p>
    <w:p w14:paraId="27D7CB7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14.3.1.2 Workforce Gap Analysis</w:t>
      </w:r>
    </w:p>
    <w:p w14:paraId="1CA644AB" w14:textId="77777777" w:rsidR="00CF2E15" w:rsidRPr="00CF2E15" w:rsidRDefault="00CF2E15" w:rsidP="00CF2E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Skills mapping</w:t>
      </w:r>
    </w:p>
    <w:p w14:paraId="31A507D3" w14:textId="77777777" w:rsidR="00CF2E15" w:rsidRPr="00CF2E15" w:rsidRDefault="00CF2E15" w:rsidP="00CF2E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Capacity planning</w:t>
      </w:r>
    </w:p>
    <w:p w14:paraId="2329E9DE" w14:textId="77777777" w:rsidR="00CF2E15" w:rsidRPr="00CF2E15" w:rsidRDefault="00CF2E15" w:rsidP="00CF2E15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Succession risk assessment</w:t>
      </w:r>
    </w:p>
    <w:p w14:paraId="19FDB6AD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Outputs:</w:t>
      </w:r>
    </w:p>
    <w:p w14:paraId="3555DA33" w14:textId="77777777" w:rsidR="00CF2E15" w:rsidRPr="00CF2E15" w:rsidRDefault="00CF2E15" w:rsidP="00CF2E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Approved Manpower Plan (F-14-01)</w:t>
      </w:r>
    </w:p>
    <w:p w14:paraId="39A097B7" w14:textId="77777777" w:rsidR="00CF2E15" w:rsidRPr="00CF2E15" w:rsidRDefault="00CF2E15" w:rsidP="00CF2E15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Workforce Risk Register</w:t>
      </w:r>
    </w:p>
    <w:p w14:paraId="60E9225E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D0E7696">
          <v:rect id="_x0000_i1028" style="width:0;height:1.5pt" o:hralign="center" o:hrstd="t" o:hr="t" fillcolor="#a0a0a0" stroked="f"/>
        </w:pict>
      </w:r>
    </w:p>
    <w:p w14:paraId="6AD856A6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14.3.2 Recruitment &amp; Onboarding Interface</w:t>
      </w:r>
    </w:p>
    <w:p w14:paraId="08810ABB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14.3.2.1 Recruitment Requisition Workflow</w:t>
      </w:r>
    </w:p>
    <w:p w14:paraId="5985551D" w14:textId="77777777" w:rsidR="00CF2E15" w:rsidRPr="00CF2E15" w:rsidRDefault="00CF2E15" w:rsidP="00CF2E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 raises request</w:t>
      </w:r>
    </w:p>
    <w:p w14:paraId="6B1F27AD" w14:textId="77777777" w:rsidR="00CF2E15" w:rsidRPr="00CF2E15" w:rsidRDefault="00CF2E15" w:rsidP="00CF2E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validation (Finance)</w:t>
      </w:r>
    </w:p>
    <w:p w14:paraId="25421880" w14:textId="77777777" w:rsidR="00CF2E15" w:rsidRPr="00CF2E15" w:rsidRDefault="00CF2E15" w:rsidP="00CF2E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HR screening</w:t>
      </w:r>
    </w:p>
    <w:p w14:paraId="73B2BBB1" w14:textId="77777777" w:rsidR="00CF2E15" w:rsidRPr="00CF2E15" w:rsidRDefault="00CF2E15" w:rsidP="00CF2E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Interview Panel (RACI defined)</w:t>
      </w:r>
    </w:p>
    <w:p w14:paraId="2AD7634C" w14:textId="77777777" w:rsidR="00CF2E15" w:rsidRPr="00CF2E15" w:rsidRDefault="00CF2E15" w:rsidP="00CF2E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CEO approval (if required)</w:t>
      </w:r>
    </w:p>
    <w:p w14:paraId="240926F7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14.3.2.2 Onboarding Governance</w:t>
      </w:r>
    </w:p>
    <w:p w14:paraId="0E2888BB" w14:textId="77777777" w:rsidR="00CF2E15" w:rsidRPr="00CF2E15" w:rsidRDefault="00CF2E15" w:rsidP="00CF2E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Employment Contract</w:t>
      </w:r>
    </w:p>
    <w:p w14:paraId="44122DD9" w14:textId="77777777" w:rsidR="00CF2E15" w:rsidRPr="00CF2E15" w:rsidRDefault="00CF2E15" w:rsidP="00CF2E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NDA &amp; Confidentiality</w:t>
      </w:r>
    </w:p>
    <w:p w14:paraId="0875B55A" w14:textId="77777777" w:rsidR="00CF2E15" w:rsidRPr="00CF2E15" w:rsidRDefault="00CF2E15" w:rsidP="00CF2E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System Access Request (IT)</w:t>
      </w:r>
    </w:p>
    <w:p w14:paraId="26BAF72B" w14:textId="77777777" w:rsidR="00CF2E15" w:rsidRPr="00CF2E15" w:rsidRDefault="00CF2E15" w:rsidP="00CF2E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Policy Acknowledgement</w:t>
      </w:r>
    </w:p>
    <w:p w14:paraId="6DA8EC4F" w14:textId="77777777" w:rsidR="00CF2E15" w:rsidRPr="00CF2E15" w:rsidRDefault="00CF2E15" w:rsidP="00CF2E15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Probation KPI definition</w:t>
      </w:r>
    </w:p>
    <w:p w14:paraId="047E7BAD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Forms:</w:t>
      </w:r>
    </w:p>
    <w:p w14:paraId="035B61C3" w14:textId="77777777" w:rsidR="00CF2E15" w:rsidRPr="00CF2E15" w:rsidRDefault="00CF2E15" w:rsidP="00CF2E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F-14-02 Recruitment Request</w:t>
      </w:r>
    </w:p>
    <w:p w14:paraId="63C21502" w14:textId="77777777" w:rsidR="00CF2E15" w:rsidRPr="00CF2E15" w:rsidRDefault="00CF2E15" w:rsidP="00CF2E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F-14-03 Interview Evaluation Sheet</w:t>
      </w:r>
    </w:p>
    <w:p w14:paraId="27ACDD26" w14:textId="77777777" w:rsidR="00CF2E15" w:rsidRPr="00CF2E15" w:rsidRDefault="00CF2E15" w:rsidP="00CF2E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F-14-04 Onboarding Checklist</w:t>
      </w:r>
    </w:p>
    <w:p w14:paraId="2DACB21A" w14:textId="77777777" w:rsidR="00CF2E15" w:rsidRPr="00CF2E15" w:rsidRDefault="00CF2E15" w:rsidP="00CF2E15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F-14-05 Access Control Form</w:t>
      </w:r>
    </w:p>
    <w:p w14:paraId="55396B3B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EE817A7">
          <v:rect id="_x0000_i1029" style="width:0;height:1.5pt" o:hralign="center" o:hrstd="t" o:hr="t" fillcolor="#a0a0a0" stroked="f"/>
        </w:pict>
      </w:r>
    </w:p>
    <w:p w14:paraId="16D3A3D5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14.3.3 Performance Management Interface</w:t>
      </w:r>
    </w:p>
    <w:p w14:paraId="5040DD59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14.3.3.1 KPI Alignment Procedure</w:t>
      </w:r>
    </w:p>
    <w:p w14:paraId="6378774C" w14:textId="77777777" w:rsidR="00CF2E15" w:rsidRPr="00CF2E15" w:rsidRDefault="00CF2E15" w:rsidP="00CF2E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Cascade from Corporate KPIs (Section 06_Performance)</w:t>
      </w:r>
    </w:p>
    <w:p w14:paraId="1F8581E4" w14:textId="77777777" w:rsidR="00CF2E15" w:rsidRPr="00CF2E15" w:rsidRDefault="00CF2E15" w:rsidP="00CF2E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Departmental KPIs</w:t>
      </w:r>
    </w:p>
    <w:p w14:paraId="5FD4D527" w14:textId="77777777" w:rsidR="00CF2E15" w:rsidRPr="00CF2E15" w:rsidRDefault="00CF2E15" w:rsidP="00CF2E15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Individual Scorecards</w:t>
      </w:r>
    </w:p>
    <w:p w14:paraId="03022465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14.3.3.2 Appraisal Cycle</w:t>
      </w:r>
    </w:p>
    <w:p w14:paraId="043AE766" w14:textId="77777777" w:rsidR="00CF2E15" w:rsidRPr="00CF2E15" w:rsidRDefault="00CF2E15" w:rsidP="00CF2E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Mid-year review</w:t>
      </w:r>
    </w:p>
    <w:p w14:paraId="62CBEA14" w14:textId="77777777" w:rsidR="00CF2E15" w:rsidRPr="00CF2E15" w:rsidRDefault="00CF2E15" w:rsidP="00CF2E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review</w:t>
      </w:r>
    </w:p>
    <w:p w14:paraId="43DFF0AD" w14:textId="77777777" w:rsidR="00CF2E15" w:rsidRPr="00CF2E15" w:rsidRDefault="00CF2E15" w:rsidP="00CF2E15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Performance Calibration Committee</w:t>
      </w:r>
    </w:p>
    <w:p w14:paraId="0120EB3A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14.3.3.3 Performance Risk Escalation</w:t>
      </w:r>
    </w:p>
    <w:p w14:paraId="66ECC365" w14:textId="77777777" w:rsidR="00CF2E15" w:rsidRPr="00CF2E15" w:rsidRDefault="00CF2E15" w:rsidP="00CF2E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Low performer PIP</w:t>
      </w:r>
    </w:p>
    <w:p w14:paraId="2410E3CB" w14:textId="77777777" w:rsidR="00CF2E15" w:rsidRPr="00CF2E15" w:rsidRDefault="00CF2E15" w:rsidP="00CF2E15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Misconduct referral to Compliance</w:t>
      </w:r>
    </w:p>
    <w:p w14:paraId="36FFA97B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KPIs:</w:t>
      </w:r>
    </w:p>
    <w:p w14:paraId="09159925" w14:textId="77777777" w:rsidR="00CF2E15" w:rsidRPr="00CF2E15" w:rsidRDefault="00CF2E15" w:rsidP="00CF2E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% KPI completion rate</w:t>
      </w:r>
    </w:p>
    <w:p w14:paraId="1CA0E288" w14:textId="77777777" w:rsidR="00CF2E15" w:rsidRPr="00CF2E15" w:rsidRDefault="00CF2E15" w:rsidP="00CF2E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Employee productivity ratio</w:t>
      </w:r>
    </w:p>
    <w:p w14:paraId="631F36D3" w14:textId="77777777" w:rsidR="00CF2E15" w:rsidRPr="00CF2E15" w:rsidRDefault="00CF2E15" w:rsidP="00CF2E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Attrition rate</w:t>
      </w:r>
    </w:p>
    <w:p w14:paraId="3F871811" w14:textId="77777777" w:rsidR="00CF2E15" w:rsidRPr="00CF2E15" w:rsidRDefault="00CF2E15" w:rsidP="00CF2E15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Engagement score</w:t>
      </w:r>
    </w:p>
    <w:p w14:paraId="3CB30EBB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28E06698">
          <v:rect id="_x0000_i1030" style="width:0;height:1.5pt" o:hralign="center" o:hrstd="t" o:hr="t" fillcolor="#a0a0a0" stroked="f"/>
        </w:pict>
      </w:r>
    </w:p>
    <w:p w14:paraId="3C48EB82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14.3.4 Compensation &amp; Payroll Interface</w:t>
      </w:r>
    </w:p>
    <w:p w14:paraId="547FB051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14.3.4.1 Payroll Control Procedure</w:t>
      </w:r>
    </w:p>
    <w:p w14:paraId="419C0850" w14:textId="77777777" w:rsidR="00CF2E15" w:rsidRPr="00CF2E15" w:rsidRDefault="00CF2E15" w:rsidP="00CF2E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lastRenderedPageBreak/>
        <w:t>Attendance validation</w:t>
      </w:r>
    </w:p>
    <w:p w14:paraId="19F7CCB1" w14:textId="77777777" w:rsidR="00CF2E15" w:rsidRPr="00CF2E15" w:rsidRDefault="00CF2E15" w:rsidP="00CF2E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Overtime approval</w:t>
      </w:r>
    </w:p>
    <w:p w14:paraId="52745DCB" w14:textId="77777777" w:rsidR="00CF2E15" w:rsidRPr="00CF2E15" w:rsidRDefault="00CF2E15" w:rsidP="00CF2E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Bonus alignment with KPI results</w:t>
      </w:r>
    </w:p>
    <w:p w14:paraId="553F1720" w14:textId="77777777" w:rsidR="00CF2E15" w:rsidRPr="00CF2E15" w:rsidRDefault="00CF2E15" w:rsidP="00CF2E15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Finance reconciliation</w:t>
      </w:r>
    </w:p>
    <w:p w14:paraId="7067136B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14.3.4.2 Compensation Review Governance</w:t>
      </w:r>
    </w:p>
    <w:p w14:paraId="3D60E62F" w14:textId="77777777" w:rsidR="00CF2E15" w:rsidRPr="00CF2E15" w:rsidRDefault="00CF2E15" w:rsidP="00CF2E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Annual salary benchmarking</w:t>
      </w:r>
    </w:p>
    <w:p w14:paraId="496B6BB8" w14:textId="77777777" w:rsidR="00CF2E15" w:rsidRPr="00CF2E15" w:rsidRDefault="00CF2E15" w:rsidP="00CF2E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Market adjustment review</w:t>
      </w:r>
    </w:p>
    <w:p w14:paraId="39105918" w14:textId="77777777" w:rsidR="00CF2E15" w:rsidRPr="00CF2E15" w:rsidRDefault="00CF2E15" w:rsidP="00CF2E15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Board approval for executive pay</w:t>
      </w:r>
    </w:p>
    <w:p w14:paraId="4336D319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val="en-GB" w:eastAsia="en-GB" w:bidi="ar-SA"/>
          <w14:ligatures w14:val="none"/>
        </w:rPr>
        <w:t>Controls:</w:t>
      </w:r>
    </w:p>
    <w:p w14:paraId="294D36B5" w14:textId="77777777" w:rsidR="00CF2E15" w:rsidRPr="00CF2E15" w:rsidRDefault="00CF2E15" w:rsidP="00CF2E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Segregation of Duties</w:t>
      </w:r>
    </w:p>
    <w:p w14:paraId="12388251" w14:textId="77777777" w:rsidR="00CF2E15" w:rsidRPr="00CF2E15" w:rsidRDefault="00CF2E15" w:rsidP="00CF2E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Payroll audit trail</w:t>
      </w:r>
    </w:p>
    <w:p w14:paraId="1CEC189F" w14:textId="77777777" w:rsidR="00CF2E15" w:rsidRPr="00CF2E15" w:rsidRDefault="00CF2E15" w:rsidP="00CF2E15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Bank file verification</w:t>
      </w:r>
    </w:p>
    <w:p w14:paraId="28795245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43CC91B0">
          <v:rect id="_x0000_i1031" style="width:0;height:1.5pt" o:hralign="center" o:hrstd="t" o:hr="t" fillcolor="#a0a0a0" stroked="f"/>
        </w:pict>
      </w:r>
    </w:p>
    <w:p w14:paraId="5155F7FC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14.3.5 Learning &amp; Development Interface</w:t>
      </w:r>
    </w:p>
    <w:p w14:paraId="6A174CFF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14.3.5.1 Training Needs Analysis (TNA)</w:t>
      </w:r>
    </w:p>
    <w:p w14:paraId="1AF1B34C" w14:textId="77777777" w:rsidR="00CF2E15" w:rsidRPr="00CF2E15" w:rsidRDefault="00CF2E15" w:rsidP="00CF2E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Department request</w:t>
      </w:r>
    </w:p>
    <w:p w14:paraId="45782A39" w14:textId="77777777" w:rsidR="00CF2E15" w:rsidRPr="00CF2E15" w:rsidRDefault="00CF2E15" w:rsidP="00CF2E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Skills gap review</w:t>
      </w:r>
    </w:p>
    <w:p w14:paraId="2DF8AEB7" w14:textId="77777777" w:rsidR="00CF2E15" w:rsidRPr="00CF2E15" w:rsidRDefault="00CF2E15" w:rsidP="00CF2E15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Budget alignment</w:t>
      </w:r>
    </w:p>
    <w:p w14:paraId="38536C6F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14.3.5.2 Mandatory Training Governance</w:t>
      </w:r>
    </w:p>
    <w:p w14:paraId="7373C2E0" w14:textId="77777777" w:rsidR="00CF2E15" w:rsidRPr="00CF2E15" w:rsidRDefault="00CF2E15" w:rsidP="00CF2E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Compliance</w:t>
      </w:r>
    </w:p>
    <w:p w14:paraId="3B080270" w14:textId="77777777" w:rsidR="00CF2E15" w:rsidRPr="00CF2E15" w:rsidRDefault="00CF2E15" w:rsidP="00CF2E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Risk &amp; HSE</w:t>
      </w:r>
    </w:p>
    <w:p w14:paraId="3D524E4A" w14:textId="77777777" w:rsidR="00CF2E15" w:rsidRPr="00CF2E15" w:rsidRDefault="00CF2E15" w:rsidP="00CF2E15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AI &amp; Data Ethics (Aligned to 09_AI_Knowledge_HUB)</w:t>
      </w:r>
    </w:p>
    <w:p w14:paraId="1992514A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14.3.5.3 Leadership Development Track</w:t>
      </w:r>
    </w:p>
    <w:p w14:paraId="1D4546A5" w14:textId="77777777" w:rsidR="00CF2E15" w:rsidRPr="00CF2E15" w:rsidRDefault="00CF2E15" w:rsidP="00CF2E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High-potential identification</w:t>
      </w:r>
    </w:p>
    <w:p w14:paraId="05B3FBB7" w14:textId="77777777" w:rsidR="00CF2E15" w:rsidRPr="00CF2E15" w:rsidRDefault="00CF2E15" w:rsidP="00CF2E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Succession matrix</w:t>
      </w:r>
    </w:p>
    <w:p w14:paraId="64CC51CD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9FDD6D2">
          <v:rect id="_x0000_i1032" style="width:0;height:1.5pt" o:hralign="center" o:hrstd="t" o:hr="t" fillcolor="#a0a0a0" stroked="f"/>
        </w:pict>
      </w:r>
    </w:p>
    <w:p w14:paraId="0D6B19C4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GB" w:eastAsia="en-GB" w:bidi="ar-SA"/>
          <w14:ligatures w14:val="none"/>
        </w:rPr>
        <w:t>14.3.6 Employee Relations &amp; Compliance Interface</w:t>
      </w:r>
    </w:p>
    <w:p w14:paraId="60C82415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14.3.6.1 Grievance Handling Procedure</w:t>
      </w:r>
    </w:p>
    <w:p w14:paraId="791D1616" w14:textId="77777777" w:rsidR="00CF2E15" w:rsidRPr="00CF2E15" w:rsidRDefault="00CF2E15" w:rsidP="00CF2E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Complaint registration</w:t>
      </w:r>
    </w:p>
    <w:p w14:paraId="6BE54FBD" w14:textId="77777777" w:rsidR="00CF2E15" w:rsidRPr="00CF2E15" w:rsidRDefault="00CF2E15" w:rsidP="00CF2E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Investigation committee</w:t>
      </w:r>
    </w:p>
    <w:p w14:paraId="5730E857" w14:textId="77777777" w:rsidR="00CF2E15" w:rsidRPr="00CF2E15" w:rsidRDefault="00CF2E15" w:rsidP="00CF2E15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Resolution timeline</w:t>
      </w:r>
    </w:p>
    <w:p w14:paraId="0A4E33F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lastRenderedPageBreak/>
        <w:t>14.3.6.2 Disciplinary Process</w:t>
      </w:r>
    </w:p>
    <w:p w14:paraId="752D3757" w14:textId="77777777" w:rsidR="00CF2E15" w:rsidRPr="00CF2E15" w:rsidRDefault="00CF2E15" w:rsidP="00CF2E1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Warning levels</w:t>
      </w:r>
    </w:p>
    <w:p w14:paraId="62B0FAEA" w14:textId="77777777" w:rsidR="00CF2E15" w:rsidRPr="00CF2E15" w:rsidRDefault="00CF2E15" w:rsidP="00CF2E1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HR–Legal coordination</w:t>
      </w:r>
    </w:p>
    <w:p w14:paraId="3A96DC05" w14:textId="77777777" w:rsidR="00CF2E15" w:rsidRPr="00CF2E15" w:rsidRDefault="00CF2E15" w:rsidP="00CF2E15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Termination governance</w:t>
      </w:r>
    </w:p>
    <w:p w14:paraId="48836CB4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GB" w:eastAsia="en-GB" w:bidi="ar-SA"/>
          <w14:ligatures w14:val="none"/>
        </w:rPr>
        <w:t>14.3.6.3 Ethics &amp; Whistleblowing</w:t>
      </w:r>
    </w:p>
    <w:p w14:paraId="74EE1AC4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(Linked to 07_Risk_Compliance)</w:t>
      </w:r>
    </w:p>
    <w:p w14:paraId="6D85C830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3A26ED83">
          <v:rect id="_x0000_i1033" style="width:0;height:1.5pt" o:hralign="center" o:hrstd="t" o:hr="t" fillcolor="#a0a0a0" stroked="f"/>
        </w:pict>
      </w:r>
    </w:p>
    <w:p w14:paraId="405DC45C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14.4 SIPOC – HR Interface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50"/>
        <w:gridCol w:w="1814"/>
        <w:gridCol w:w="2072"/>
        <w:gridCol w:w="1961"/>
        <w:gridCol w:w="1619"/>
      </w:tblGrid>
      <w:tr w:rsidR="00CF2E15" w:rsidRPr="00CF2E15" w14:paraId="3567A061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6842DF0D" w14:textId="77777777" w:rsidR="00CF2E15" w:rsidRPr="00CF2E15" w:rsidRDefault="00CF2E15" w:rsidP="00CF2E1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Supplier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6873E98F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Input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41D40C1C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7EE15CFE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Output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26B97FC6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Customer</w:t>
            </w:r>
          </w:p>
        </w:tc>
      </w:tr>
      <w:tr w:rsidR="00CF2E15" w:rsidRPr="00CF2E15" w14:paraId="6D578255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806DB9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Departments</w:t>
            </w:r>
          </w:p>
        </w:tc>
        <w:tc>
          <w:tcPr>
            <w:tcW w:w="0" w:type="auto"/>
            <w:hideMark/>
          </w:tcPr>
          <w:p w14:paraId="50FE2CCB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Manpower needs</w:t>
            </w:r>
          </w:p>
        </w:tc>
        <w:tc>
          <w:tcPr>
            <w:tcW w:w="0" w:type="auto"/>
            <w:hideMark/>
          </w:tcPr>
          <w:p w14:paraId="420958BD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Recruitment</w:t>
            </w:r>
          </w:p>
        </w:tc>
        <w:tc>
          <w:tcPr>
            <w:tcW w:w="0" w:type="auto"/>
            <w:hideMark/>
          </w:tcPr>
          <w:p w14:paraId="7B9E2133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New hires</w:t>
            </w:r>
          </w:p>
        </w:tc>
        <w:tc>
          <w:tcPr>
            <w:tcW w:w="0" w:type="auto"/>
            <w:hideMark/>
          </w:tcPr>
          <w:p w14:paraId="7C6C99DC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Units</w:t>
            </w:r>
          </w:p>
        </w:tc>
      </w:tr>
      <w:tr w:rsidR="00CF2E15" w:rsidRPr="00CF2E15" w14:paraId="6104D467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2FE8FE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hideMark/>
          </w:tcPr>
          <w:p w14:paraId="360A4AB1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</w:t>
            </w:r>
          </w:p>
        </w:tc>
        <w:tc>
          <w:tcPr>
            <w:tcW w:w="0" w:type="auto"/>
            <w:hideMark/>
          </w:tcPr>
          <w:p w14:paraId="43E029CA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 validation</w:t>
            </w:r>
          </w:p>
        </w:tc>
        <w:tc>
          <w:tcPr>
            <w:tcW w:w="0" w:type="auto"/>
            <w:hideMark/>
          </w:tcPr>
          <w:p w14:paraId="09AFFAC9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Salary payment</w:t>
            </w:r>
          </w:p>
        </w:tc>
        <w:tc>
          <w:tcPr>
            <w:tcW w:w="0" w:type="auto"/>
            <w:hideMark/>
          </w:tcPr>
          <w:p w14:paraId="3F34A0AD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Employees</w:t>
            </w:r>
          </w:p>
        </w:tc>
      </w:tr>
      <w:tr w:rsidR="00CF2E15" w:rsidRPr="00CF2E15" w14:paraId="6A6569BE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555F2B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hideMark/>
          </w:tcPr>
          <w:p w14:paraId="1330AFBE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Compliance rules</w:t>
            </w:r>
          </w:p>
        </w:tc>
        <w:tc>
          <w:tcPr>
            <w:tcW w:w="0" w:type="auto"/>
            <w:hideMark/>
          </w:tcPr>
          <w:p w14:paraId="4DD2CB90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Training governance</w:t>
            </w:r>
          </w:p>
        </w:tc>
        <w:tc>
          <w:tcPr>
            <w:tcW w:w="0" w:type="auto"/>
            <w:hideMark/>
          </w:tcPr>
          <w:p w14:paraId="2AD82E5A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Certified workforce</w:t>
            </w:r>
          </w:p>
        </w:tc>
        <w:tc>
          <w:tcPr>
            <w:tcW w:w="0" w:type="auto"/>
            <w:hideMark/>
          </w:tcPr>
          <w:p w14:paraId="427700C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Management</w:t>
            </w:r>
          </w:p>
        </w:tc>
      </w:tr>
      <w:tr w:rsidR="00CF2E15" w:rsidRPr="00CF2E15" w14:paraId="37756EB8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96989B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  <w:tc>
          <w:tcPr>
            <w:tcW w:w="0" w:type="auto"/>
            <w:hideMark/>
          </w:tcPr>
          <w:p w14:paraId="5F695271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Access request</w:t>
            </w:r>
          </w:p>
        </w:tc>
        <w:tc>
          <w:tcPr>
            <w:tcW w:w="0" w:type="auto"/>
            <w:hideMark/>
          </w:tcPr>
          <w:p w14:paraId="668C949C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3A2E2387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System access</w:t>
            </w:r>
          </w:p>
        </w:tc>
        <w:tc>
          <w:tcPr>
            <w:tcW w:w="0" w:type="auto"/>
            <w:hideMark/>
          </w:tcPr>
          <w:p w14:paraId="1715B961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Employee</w:t>
            </w:r>
          </w:p>
        </w:tc>
      </w:tr>
    </w:tbl>
    <w:p w14:paraId="2F255054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2728F6A">
          <v:rect id="_x0000_i1034" style="width:0;height:1.5pt" o:hralign="center" o:hrstd="t" o:hr="t" fillcolor="#a0a0a0" stroked="f"/>
        </w:pict>
      </w:r>
    </w:p>
    <w:p w14:paraId="458764EE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14.5 BPMN – Recruitment Interface (Textual Representation)</w:t>
      </w:r>
    </w:p>
    <w:p w14:paraId="7637E410" w14:textId="77777777" w:rsidR="00CF2E15" w:rsidRPr="00CF2E15" w:rsidRDefault="00CF2E15" w:rsidP="00CF2E15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</w:pPr>
      <w:r w:rsidRPr="00CF2E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t xml:space="preserve">Start → Dept Raise Request → Finance Budget Check → HR Review → </w:t>
      </w:r>
      <w:r w:rsidRPr="00CF2E15">
        <w:rPr>
          <w:rFonts w:ascii="Courier New" w:eastAsia="Times New Roman" w:hAnsi="Courier New" w:cs="Courier New"/>
          <w:kern w:val="0"/>
          <w:sz w:val="20"/>
          <w:szCs w:val="20"/>
          <w:lang w:val="en-GB" w:eastAsia="en-GB" w:bidi="ar-SA"/>
          <w14:ligatures w14:val="none"/>
        </w:rPr>
        <w:br/>
        <w:t>Interview Panel → CEO Approval → Offer Letter → Onboarding → End</w:t>
      </w:r>
    </w:p>
    <w:p w14:paraId="59351F57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7FF47A4B">
          <v:rect id="_x0000_i1035" style="width:0;height:1.5pt" o:hralign="center" o:hrstd="t" o:hr="t" fillcolor="#a0a0a0" stroked="f"/>
        </w:pict>
      </w:r>
    </w:p>
    <w:p w14:paraId="66002B3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14.6 RACI Matrix – Key HR Interface Processes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355"/>
        <w:gridCol w:w="576"/>
        <w:gridCol w:w="1316"/>
        <w:gridCol w:w="1030"/>
        <w:gridCol w:w="737"/>
        <w:gridCol w:w="2891"/>
      </w:tblGrid>
      <w:tr w:rsidR="00CF2E15" w:rsidRPr="00CF2E15" w14:paraId="412CBA45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F87ACCF" w14:textId="77777777" w:rsidR="00CF2E15" w:rsidRPr="00CF2E15" w:rsidRDefault="00CF2E15" w:rsidP="00A73DF9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2FD5F63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4D4118CE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Dept Head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55616763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14C81590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CEO</w:t>
            </w:r>
          </w:p>
        </w:tc>
        <w:tc>
          <w:tcPr>
            <w:tcW w:w="2891" w:type="dxa"/>
            <w:shd w:val="clear" w:color="auto" w:fill="0E2841" w:themeFill="text2"/>
            <w:vAlign w:val="center"/>
            <w:hideMark/>
          </w:tcPr>
          <w:p w14:paraId="5AEFEB8F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IT</w:t>
            </w:r>
          </w:p>
        </w:tc>
      </w:tr>
      <w:tr w:rsidR="00CF2E15" w:rsidRPr="00CF2E15" w14:paraId="7B9EA959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F2C36D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Manpower Planning</w:t>
            </w:r>
          </w:p>
        </w:tc>
        <w:tc>
          <w:tcPr>
            <w:tcW w:w="0" w:type="auto"/>
            <w:hideMark/>
          </w:tcPr>
          <w:p w14:paraId="5B402F0C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4859C257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36815B6C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B9D139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891" w:type="dxa"/>
            <w:hideMark/>
          </w:tcPr>
          <w:p w14:paraId="7404EA5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F2E15" w:rsidRPr="00CF2E15" w14:paraId="0C6CDE62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D3BFE2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Recruitment</w:t>
            </w:r>
          </w:p>
        </w:tc>
        <w:tc>
          <w:tcPr>
            <w:tcW w:w="0" w:type="auto"/>
            <w:hideMark/>
          </w:tcPr>
          <w:p w14:paraId="26750104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71B4CDF7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404E82ED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1F01A43A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2891" w:type="dxa"/>
            <w:hideMark/>
          </w:tcPr>
          <w:p w14:paraId="1D060EA7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F2E15" w:rsidRPr="00CF2E15" w14:paraId="283B02D5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C148B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Onboarding</w:t>
            </w:r>
          </w:p>
        </w:tc>
        <w:tc>
          <w:tcPr>
            <w:tcW w:w="0" w:type="auto"/>
            <w:hideMark/>
          </w:tcPr>
          <w:p w14:paraId="49CCE226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40CBAD9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</w:t>
            </w:r>
          </w:p>
        </w:tc>
        <w:tc>
          <w:tcPr>
            <w:tcW w:w="0" w:type="auto"/>
            <w:hideMark/>
          </w:tcPr>
          <w:p w14:paraId="0768F80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60FF7B7B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891" w:type="dxa"/>
            <w:hideMark/>
          </w:tcPr>
          <w:p w14:paraId="4431093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</w:tr>
      <w:tr w:rsidR="00CF2E15" w:rsidRPr="00CF2E15" w14:paraId="5EEC37EE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E87147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</w:t>
            </w:r>
          </w:p>
        </w:tc>
        <w:tc>
          <w:tcPr>
            <w:tcW w:w="0" w:type="auto"/>
            <w:hideMark/>
          </w:tcPr>
          <w:p w14:paraId="424EB112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5FEBD82D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75D131FA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757738C8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891" w:type="dxa"/>
            <w:hideMark/>
          </w:tcPr>
          <w:p w14:paraId="79CA3F52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  <w:tr w:rsidR="00CF2E15" w:rsidRPr="00CF2E15" w14:paraId="7DEF6B61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2A8B24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 Review</w:t>
            </w:r>
          </w:p>
        </w:tc>
        <w:tc>
          <w:tcPr>
            <w:tcW w:w="0" w:type="auto"/>
            <w:hideMark/>
          </w:tcPr>
          <w:p w14:paraId="2628AA37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</w:t>
            </w:r>
          </w:p>
        </w:tc>
        <w:tc>
          <w:tcPr>
            <w:tcW w:w="0" w:type="auto"/>
            <w:hideMark/>
          </w:tcPr>
          <w:p w14:paraId="0116B40F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</w:t>
            </w:r>
          </w:p>
        </w:tc>
        <w:tc>
          <w:tcPr>
            <w:tcW w:w="0" w:type="auto"/>
            <w:hideMark/>
          </w:tcPr>
          <w:p w14:paraId="5F066024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0" w:type="auto"/>
            <w:hideMark/>
          </w:tcPr>
          <w:p w14:paraId="12A323DE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  <w:tc>
          <w:tcPr>
            <w:tcW w:w="2891" w:type="dxa"/>
            <w:hideMark/>
          </w:tcPr>
          <w:p w14:paraId="17A3B1F9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I</w:t>
            </w:r>
          </w:p>
        </w:tc>
      </w:tr>
    </w:tbl>
    <w:p w14:paraId="64F764D8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(R = Responsible, A = Accountable, C = Consulted, I = Informed)</w:t>
      </w:r>
    </w:p>
    <w:p w14:paraId="01E48F02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61049691">
          <v:rect id="_x0000_i1036" style="width:0;height:1.5pt" o:hralign="center" o:hrstd="t" o:hr="t" fillcolor="#a0a0a0" stroked="f"/>
        </w:pict>
      </w:r>
    </w:p>
    <w:p w14:paraId="384EFFB7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14.7 SAP / ERP Integration Points</w:t>
      </w:r>
    </w:p>
    <w:tbl>
      <w:tblPr>
        <w:tblStyle w:val="PlainTable1"/>
        <w:tblW w:w="9085" w:type="dxa"/>
        <w:tblLook w:val="04A0" w:firstRow="1" w:lastRow="0" w:firstColumn="1" w:lastColumn="0" w:noHBand="0" w:noVBand="1"/>
      </w:tblPr>
      <w:tblGrid>
        <w:gridCol w:w="3170"/>
        <w:gridCol w:w="5915"/>
      </w:tblGrid>
      <w:tr w:rsidR="00CF2E15" w:rsidRPr="00CF2E15" w14:paraId="2BCF65C7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49B4EDF8" w14:textId="77777777" w:rsidR="00CF2E15" w:rsidRPr="00CF2E15" w:rsidRDefault="00CF2E15" w:rsidP="00A73DF9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Module</w:t>
            </w:r>
          </w:p>
        </w:tc>
        <w:tc>
          <w:tcPr>
            <w:tcW w:w="5915" w:type="dxa"/>
            <w:shd w:val="clear" w:color="auto" w:fill="0E2841" w:themeFill="text2"/>
            <w:vAlign w:val="center"/>
            <w:hideMark/>
          </w:tcPr>
          <w:p w14:paraId="3D1A0F72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Linked Module</w:t>
            </w:r>
          </w:p>
        </w:tc>
      </w:tr>
      <w:tr w:rsidR="00CF2E15" w:rsidRPr="00CF2E15" w14:paraId="5892A866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804335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Personnel Administration</w:t>
            </w:r>
          </w:p>
        </w:tc>
        <w:tc>
          <w:tcPr>
            <w:tcW w:w="5915" w:type="dxa"/>
            <w:hideMark/>
          </w:tcPr>
          <w:p w14:paraId="299F1FC6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Finance</w:t>
            </w:r>
          </w:p>
        </w:tc>
      </w:tr>
      <w:tr w:rsidR="00CF2E15" w:rsidRPr="00CF2E15" w14:paraId="637CB7DA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3371C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</w:t>
            </w:r>
          </w:p>
        </w:tc>
        <w:tc>
          <w:tcPr>
            <w:tcW w:w="5915" w:type="dxa"/>
            <w:hideMark/>
          </w:tcPr>
          <w:p w14:paraId="4C75EFC8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Treasury</w:t>
            </w:r>
          </w:p>
        </w:tc>
      </w:tr>
      <w:tr w:rsidR="00CF2E15" w:rsidRPr="00CF2E15" w14:paraId="2C9D70C3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A60B20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Organizational Management</w:t>
            </w:r>
          </w:p>
        </w:tc>
        <w:tc>
          <w:tcPr>
            <w:tcW w:w="5915" w:type="dxa"/>
            <w:hideMark/>
          </w:tcPr>
          <w:p w14:paraId="770597CC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Strategy</w:t>
            </w:r>
          </w:p>
        </w:tc>
      </w:tr>
      <w:tr w:rsidR="00CF2E15" w:rsidRPr="00CF2E15" w14:paraId="1193B162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FBA1DD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Time Management</w:t>
            </w:r>
          </w:p>
        </w:tc>
        <w:tc>
          <w:tcPr>
            <w:tcW w:w="5915" w:type="dxa"/>
            <w:hideMark/>
          </w:tcPr>
          <w:p w14:paraId="067D5788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Operations</w:t>
            </w:r>
          </w:p>
        </w:tc>
      </w:tr>
      <w:tr w:rsidR="00CF2E15" w:rsidRPr="00CF2E15" w14:paraId="60B47F11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08C02F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Training &amp; Events</w:t>
            </w:r>
          </w:p>
        </w:tc>
        <w:tc>
          <w:tcPr>
            <w:tcW w:w="5915" w:type="dxa"/>
            <w:hideMark/>
          </w:tcPr>
          <w:p w14:paraId="6CC1C521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</w:t>
            </w:r>
          </w:p>
        </w:tc>
      </w:tr>
    </w:tbl>
    <w:p w14:paraId="077BA797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8112B3F">
          <v:rect id="_x0000_i1037" style="width:0;height:1.5pt" o:hralign="center" o:hrstd="t" o:hr="t" fillcolor="#a0a0a0" stroked="f"/>
        </w:pict>
      </w:r>
    </w:p>
    <w:p w14:paraId="2DD8FB5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14.8 HR KPI Dashboard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49"/>
        <w:gridCol w:w="2203"/>
        <w:gridCol w:w="5243"/>
      </w:tblGrid>
      <w:tr w:rsidR="00CF2E15" w:rsidRPr="00CF2E15" w14:paraId="0B0B5F8A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782FD867" w14:textId="77777777" w:rsidR="00CF2E15" w:rsidRPr="00CF2E15" w:rsidRDefault="00CF2E15" w:rsidP="00CF2E1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Category</w:t>
            </w:r>
          </w:p>
        </w:tc>
        <w:tc>
          <w:tcPr>
            <w:tcW w:w="0" w:type="auto"/>
            <w:shd w:val="clear" w:color="auto" w:fill="0E2841" w:themeFill="text2"/>
            <w:hideMark/>
          </w:tcPr>
          <w:p w14:paraId="5E8DDB68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</w:t>
            </w:r>
          </w:p>
        </w:tc>
        <w:tc>
          <w:tcPr>
            <w:tcW w:w="5243" w:type="dxa"/>
            <w:shd w:val="clear" w:color="auto" w:fill="0E2841" w:themeFill="text2"/>
            <w:hideMark/>
          </w:tcPr>
          <w:p w14:paraId="03270585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Target</w:t>
            </w:r>
          </w:p>
        </w:tc>
      </w:tr>
      <w:tr w:rsidR="00CF2E15" w:rsidRPr="00CF2E15" w14:paraId="0FEB98D8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5CE8A8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Talent</w:t>
            </w:r>
          </w:p>
        </w:tc>
        <w:tc>
          <w:tcPr>
            <w:tcW w:w="0" w:type="auto"/>
            <w:hideMark/>
          </w:tcPr>
          <w:p w14:paraId="5D56565A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Time-to-hire</w:t>
            </w:r>
          </w:p>
        </w:tc>
        <w:tc>
          <w:tcPr>
            <w:tcW w:w="5243" w:type="dxa"/>
            <w:hideMark/>
          </w:tcPr>
          <w:p w14:paraId="543BA9BD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30 days</w:t>
            </w:r>
          </w:p>
        </w:tc>
      </w:tr>
      <w:tr w:rsidR="00CF2E15" w:rsidRPr="00CF2E15" w14:paraId="60C30A5C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53607F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Retention</w:t>
            </w:r>
          </w:p>
        </w:tc>
        <w:tc>
          <w:tcPr>
            <w:tcW w:w="0" w:type="auto"/>
            <w:hideMark/>
          </w:tcPr>
          <w:p w14:paraId="05A9D3AA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Attrition Rate</w:t>
            </w:r>
          </w:p>
        </w:tc>
        <w:tc>
          <w:tcPr>
            <w:tcW w:w="5243" w:type="dxa"/>
            <w:hideMark/>
          </w:tcPr>
          <w:p w14:paraId="5F29C6F8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&lt; 8%</w:t>
            </w:r>
          </w:p>
        </w:tc>
      </w:tr>
      <w:tr w:rsidR="00CF2E15" w:rsidRPr="00CF2E15" w14:paraId="1D053E1D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14556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Performance</w:t>
            </w:r>
          </w:p>
        </w:tc>
        <w:tc>
          <w:tcPr>
            <w:tcW w:w="0" w:type="auto"/>
            <w:hideMark/>
          </w:tcPr>
          <w:p w14:paraId="557DCCE2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% KPI Achievement</w:t>
            </w:r>
          </w:p>
        </w:tc>
        <w:tc>
          <w:tcPr>
            <w:tcW w:w="5243" w:type="dxa"/>
            <w:hideMark/>
          </w:tcPr>
          <w:p w14:paraId="5629CF5E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85%</w:t>
            </w:r>
          </w:p>
        </w:tc>
      </w:tr>
      <w:tr w:rsidR="00CF2E15" w:rsidRPr="00CF2E15" w14:paraId="582D15B2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2CA6C3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</w:t>
            </w:r>
          </w:p>
        </w:tc>
        <w:tc>
          <w:tcPr>
            <w:tcW w:w="0" w:type="auto"/>
            <w:hideMark/>
          </w:tcPr>
          <w:p w14:paraId="65068AF0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 Accuracy</w:t>
            </w:r>
          </w:p>
        </w:tc>
        <w:tc>
          <w:tcPr>
            <w:tcW w:w="5243" w:type="dxa"/>
            <w:hideMark/>
          </w:tcPr>
          <w:p w14:paraId="470CFC05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100%</w:t>
            </w:r>
          </w:p>
        </w:tc>
      </w:tr>
      <w:tr w:rsidR="00CF2E15" w:rsidRPr="00CF2E15" w14:paraId="0C837343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A62B40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Engagement</w:t>
            </w:r>
          </w:p>
        </w:tc>
        <w:tc>
          <w:tcPr>
            <w:tcW w:w="0" w:type="auto"/>
            <w:hideMark/>
          </w:tcPr>
          <w:p w14:paraId="05D60B13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Survey Score</w:t>
            </w:r>
          </w:p>
        </w:tc>
        <w:tc>
          <w:tcPr>
            <w:tcW w:w="5243" w:type="dxa"/>
            <w:hideMark/>
          </w:tcPr>
          <w:p w14:paraId="7F737CB0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&gt; 80%</w:t>
            </w:r>
          </w:p>
        </w:tc>
      </w:tr>
    </w:tbl>
    <w:p w14:paraId="29E9869E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5B4B8F3">
          <v:rect id="_x0000_i1038" style="width:0;height:1.5pt" o:hralign="center" o:hrstd="t" o:hr="t" fillcolor="#a0a0a0" stroked="f"/>
        </w:pict>
      </w:r>
    </w:p>
    <w:p w14:paraId="7EDE147E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14.9 HR Risk &amp; Control Matrix (Aligned with ISO 37301 &amp; COSO)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76"/>
        <w:gridCol w:w="2803"/>
        <w:gridCol w:w="1565"/>
        <w:gridCol w:w="1310"/>
      </w:tblGrid>
      <w:tr w:rsidR="00CF2E15" w:rsidRPr="00CF2E15" w14:paraId="195E2491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vAlign w:val="center"/>
            <w:hideMark/>
          </w:tcPr>
          <w:p w14:paraId="28C50F59" w14:textId="77777777" w:rsidR="00CF2E15" w:rsidRPr="00CF2E15" w:rsidRDefault="00CF2E15" w:rsidP="00A73DF9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Risk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2AEAA0A0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Control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0620E50F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Owner</w:t>
            </w:r>
          </w:p>
        </w:tc>
        <w:tc>
          <w:tcPr>
            <w:tcW w:w="0" w:type="auto"/>
            <w:shd w:val="clear" w:color="auto" w:fill="0E2841" w:themeFill="text2"/>
            <w:vAlign w:val="center"/>
            <w:hideMark/>
          </w:tcPr>
          <w:p w14:paraId="37001624" w14:textId="77777777" w:rsidR="00CF2E15" w:rsidRPr="00CF2E15" w:rsidRDefault="00CF2E15" w:rsidP="00A73DF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Frequency</w:t>
            </w:r>
          </w:p>
        </w:tc>
      </w:tr>
      <w:tr w:rsidR="00CF2E15" w:rsidRPr="00CF2E15" w14:paraId="373DFE1F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AD9F13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Unauthorized hiring</w:t>
            </w:r>
          </w:p>
        </w:tc>
        <w:tc>
          <w:tcPr>
            <w:tcW w:w="0" w:type="auto"/>
            <w:hideMark/>
          </w:tcPr>
          <w:p w14:paraId="5EBC71EB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Budget approval workflow</w:t>
            </w:r>
          </w:p>
        </w:tc>
        <w:tc>
          <w:tcPr>
            <w:tcW w:w="0" w:type="auto"/>
            <w:hideMark/>
          </w:tcPr>
          <w:p w14:paraId="7E6B324A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HRBP</w:t>
            </w:r>
          </w:p>
        </w:tc>
        <w:tc>
          <w:tcPr>
            <w:tcW w:w="0" w:type="auto"/>
            <w:hideMark/>
          </w:tcPr>
          <w:p w14:paraId="71752CA1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Per case</w:t>
            </w:r>
          </w:p>
        </w:tc>
      </w:tr>
      <w:tr w:rsidR="00CF2E15" w:rsidRPr="00CF2E15" w14:paraId="33E2B669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4AB8D0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Payroll fraud</w:t>
            </w:r>
          </w:p>
        </w:tc>
        <w:tc>
          <w:tcPr>
            <w:tcW w:w="0" w:type="auto"/>
            <w:hideMark/>
          </w:tcPr>
          <w:p w14:paraId="2DA0DD54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Dual approval &amp; audit</w:t>
            </w:r>
          </w:p>
        </w:tc>
        <w:tc>
          <w:tcPr>
            <w:tcW w:w="0" w:type="auto"/>
            <w:hideMark/>
          </w:tcPr>
          <w:p w14:paraId="0F57AA39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+ Finance</w:t>
            </w:r>
          </w:p>
        </w:tc>
        <w:tc>
          <w:tcPr>
            <w:tcW w:w="0" w:type="auto"/>
            <w:hideMark/>
          </w:tcPr>
          <w:p w14:paraId="312A03DB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Monthly</w:t>
            </w:r>
          </w:p>
        </w:tc>
      </w:tr>
      <w:tr w:rsidR="00CF2E15" w:rsidRPr="00CF2E15" w14:paraId="3477047B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7CA96C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KPI manipulation</w:t>
            </w:r>
          </w:p>
        </w:tc>
        <w:tc>
          <w:tcPr>
            <w:tcW w:w="0" w:type="auto"/>
            <w:hideMark/>
          </w:tcPr>
          <w:p w14:paraId="187C4E75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Calibration committee</w:t>
            </w:r>
          </w:p>
        </w:tc>
        <w:tc>
          <w:tcPr>
            <w:tcW w:w="0" w:type="auto"/>
            <w:hideMark/>
          </w:tcPr>
          <w:p w14:paraId="73DA9726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Director</w:t>
            </w:r>
          </w:p>
        </w:tc>
        <w:tc>
          <w:tcPr>
            <w:tcW w:w="0" w:type="auto"/>
            <w:hideMark/>
          </w:tcPr>
          <w:p w14:paraId="23E572EF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Annual</w:t>
            </w:r>
          </w:p>
        </w:tc>
      </w:tr>
      <w:tr w:rsidR="00CF2E15" w:rsidRPr="00CF2E15" w14:paraId="020A7A9A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F3AB5D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non-compliance</w:t>
            </w:r>
          </w:p>
        </w:tc>
        <w:tc>
          <w:tcPr>
            <w:tcW w:w="0" w:type="auto"/>
            <w:hideMark/>
          </w:tcPr>
          <w:p w14:paraId="2301EFF8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Legal review</w:t>
            </w:r>
          </w:p>
        </w:tc>
        <w:tc>
          <w:tcPr>
            <w:tcW w:w="0" w:type="auto"/>
            <w:hideMark/>
          </w:tcPr>
          <w:p w14:paraId="1C5FC720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HR + Legal</w:t>
            </w:r>
          </w:p>
        </w:tc>
        <w:tc>
          <w:tcPr>
            <w:tcW w:w="0" w:type="auto"/>
            <w:hideMark/>
          </w:tcPr>
          <w:p w14:paraId="2166DBC9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Ongoing</w:t>
            </w:r>
          </w:p>
        </w:tc>
      </w:tr>
    </w:tbl>
    <w:p w14:paraId="670E0B7B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51280A6F">
          <v:rect id="_x0000_i1039" style="width:0;height:1.5pt" o:hralign="center" o:hrstd="t" o:hr="t" fillcolor="#a0a0a0" stroked="f"/>
        </w:pict>
      </w:r>
    </w:p>
    <w:p w14:paraId="20DB6DF7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t>14.10 Key Templates Index</w:t>
      </w:r>
    </w:p>
    <w:p w14:paraId="1D166603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T-14-01 Manpower Planning Template</w:t>
      </w:r>
    </w:p>
    <w:p w14:paraId="7F544D4A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T-14-02 Recruitment Request</w:t>
      </w:r>
    </w:p>
    <w:p w14:paraId="602605AB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T-14-03 Interview Scorecard</w:t>
      </w:r>
    </w:p>
    <w:p w14:paraId="2DB45FA4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T-14-04 Employment Contract Template</w:t>
      </w:r>
    </w:p>
    <w:p w14:paraId="7BC5ED57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T-14-05 Performance Appraisal Form</w:t>
      </w:r>
    </w:p>
    <w:p w14:paraId="732F2FD8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T-14-06 Payroll Summary Sheet</w:t>
      </w:r>
    </w:p>
    <w:p w14:paraId="744B5A71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T-14-07 Training Evaluation Form</w:t>
      </w:r>
    </w:p>
    <w:p w14:paraId="09D98D53" w14:textId="77777777" w:rsidR="00CF2E15" w:rsidRPr="00CF2E15" w:rsidRDefault="00CF2E15" w:rsidP="00CF2E15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T-14-08 Disciplinary Notice Template</w:t>
      </w:r>
    </w:p>
    <w:p w14:paraId="7A0F6EC2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08251B18">
          <v:rect id="_x0000_i1040" style="width:0;height:1.5pt" o:hralign="center" o:hrstd="t" o:hr="t" fillcolor="#a0a0a0" stroked="f"/>
        </w:pict>
      </w:r>
    </w:p>
    <w:p w14:paraId="3D18FEDD" w14:textId="77777777" w:rsidR="00CF2E15" w:rsidRPr="00CF2E15" w:rsidRDefault="00CF2E15" w:rsidP="00CF2E1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val="en-GB" w:eastAsia="en-GB" w:bidi="ar-SA"/>
          <w14:ligatures w14:val="none"/>
        </w:rPr>
        <w:lastRenderedPageBreak/>
        <w:t>14.11 Maturity Levels (HR Interface Model)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56"/>
        <w:gridCol w:w="7769"/>
      </w:tblGrid>
      <w:tr w:rsidR="00CF2E15" w:rsidRPr="00CF2E15" w14:paraId="35CF4C71" w14:textId="77777777" w:rsidTr="00A73D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shd w:val="clear" w:color="auto" w:fill="0E2841" w:themeFill="text2"/>
            <w:hideMark/>
          </w:tcPr>
          <w:p w14:paraId="02F63DD4" w14:textId="77777777" w:rsidR="00CF2E15" w:rsidRPr="00CF2E15" w:rsidRDefault="00CF2E15" w:rsidP="00CF2E15">
            <w:pPr>
              <w:jc w:val="center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</w:t>
            </w:r>
          </w:p>
        </w:tc>
        <w:tc>
          <w:tcPr>
            <w:tcW w:w="7769" w:type="dxa"/>
            <w:shd w:val="clear" w:color="auto" w:fill="0E2841" w:themeFill="text2"/>
            <w:hideMark/>
          </w:tcPr>
          <w:p w14:paraId="3BAEA3D1" w14:textId="77777777" w:rsidR="00CF2E15" w:rsidRPr="00CF2E15" w:rsidRDefault="00CF2E15" w:rsidP="00CF2E15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b w:val="0"/>
                <w:bCs w:val="0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Description</w:t>
            </w:r>
          </w:p>
        </w:tc>
      </w:tr>
      <w:tr w:rsidR="00CF2E15" w:rsidRPr="00CF2E15" w14:paraId="678AE996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B4486A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1</w:t>
            </w:r>
          </w:p>
        </w:tc>
        <w:tc>
          <w:tcPr>
            <w:tcW w:w="7769" w:type="dxa"/>
            <w:hideMark/>
          </w:tcPr>
          <w:p w14:paraId="5B4B01A4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Administrative HR only</w:t>
            </w:r>
          </w:p>
        </w:tc>
      </w:tr>
      <w:tr w:rsidR="00CF2E15" w:rsidRPr="00CF2E15" w14:paraId="003A1C0C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3006BE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2</w:t>
            </w:r>
          </w:p>
        </w:tc>
        <w:tc>
          <w:tcPr>
            <w:tcW w:w="7769" w:type="dxa"/>
            <w:hideMark/>
          </w:tcPr>
          <w:p w14:paraId="687F8C66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Process-driven HR</w:t>
            </w:r>
          </w:p>
        </w:tc>
      </w:tr>
      <w:tr w:rsidR="00CF2E15" w:rsidRPr="00CF2E15" w14:paraId="7C270B55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52968E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3</w:t>
            </w:r>
          </w:p>
        </w:tc>
        <w:tc>
          <w:tcPr>
            <w:tcW w:w="7769" w:type="dxa"/>
            <w:hideMark/>
          </w:tcPr>
          <w:p w14:paraId="0B66A726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Business Partner Model</w:t>
            </w:r>
          </w:p>
        </w:tc>
      </w:tr>
      <w:tr w:rsidR="00CF2E15" w:rsidRPr="00CF2E15" w14:paraId="39541FA0" w14:textId="77777777" w:rsidTr="00A73DF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AB45E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4</w:t>
            </w:r>
          </w:p>
        </w:tc>
        <w:tc>
          <w:tcPr>
            <w:tcW w:w="7769" w:type="dxa"/>
            <w:hideMark/>
          </w:tcPr>
          <w:p w14:paraId="4716309F" w14:textId="77777777" w:rsidR="00CF2E15" w:rsidRPr="00CF2E15" w:rsidRDefault="00CF2E15" w:rsidP="00CF2E1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Data-driven HR</w:t>
            </w:r>
          </w:p>
        </w:tc>
      </w:tr>
      <w:tr w:rsidR="00CF2E15" w:rsidRPr="00CF2E15" w14:paraId="0B01DE6F" w14:textId="77777777" w:rsidTr="00A73DF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4E1696" w14:textId="77777777" w:rsidR="00CF2E15" w:rsidRPr="00CF2E15" w:rsidRDefault="00CF2E15" w:rsidP="00CF2E15">
            <w:pPr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Level 5</w:t>
            </w:r>
          </w:p>
        </w:tc>
        <w:tc>
          <w:tcPr>
            <w:tcW w:w="7769" w:type="dxa"/>
            <w:hideMark/>
          </w:tcPr>
          <w:p w14:paraId="2DC5740D" w14:textId="77777777" w:rsidR="00CF2E15" w:rsidRPr="00CF2E15" w:rsidRDefault="00CF2E15" w:rsidP="00CF2E1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</w:pPr>
            <w:r w:rsidRPr="00CF2E15"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:lang w:val="en-GB" w:eastAsia="en-GB" w:bidi="ar-SA"/>
                <w14:ligatures w14:val="none"/>
              </w:rPr>
              <w:t>Strategic Human Capital Governance</w:t>
            </w:r>
          </w:p>
        </w:tc>
      </w:tr>
    </w:tbl>
    <w:p w14:paraId="61BEF548" w14:textId="77777777" w:rsidR="00CF2E15" w:rsidRPr="00CF2E15" w:rsidRDefault="00000000" w:rsidP="00CF2E1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pict w14:anchorId="128D283C">
          <v:rect id="_x0000_i1041" style="width:0;height:1.5pt" o:hralign="center" o:hrstd="t" o:hr="t" fillcolor="#a0a0a0" stroked="f"/>
        </w:pict>
      </w:r>
    </w:p>
    <w:p w14:paraId="75D4A465" w14:textId="59FAA662" w:rsidR="00CF2E15" w:rsidRPr="00CF2E15" w:rsidRDefault="00A73DF9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A73DF9">
        <w:rPr>
          <w:rFonts w:ascii="Times New Roman" w:eastAsia="Times New Roman" w:hAnsi="Times New Roman" w:cs="Times New Roman"/>
          <w:kern w:val="0"/>
          <w:sz w:val="24"/>
          <w:szCs w:val="24"/>
          <w:highlight w:val="yellow"/>
          <w:lang w:val="en-GB" w:eastAsia="en-GB" w:bidi="ar-SA"/>
          <w14:ligatures w14:val="none"/>
        </w:rPr>
        <w:t>Next link to other HR manual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79B39D57" w14:textId="77777777" w:rsidR="00CF2E15" w:rsidRPr="00CF2E15" w:rsidRDefault="00CF2E15" w:rsidP="00CF2E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Convert this into WBS-coded policy tree (14.1.1.1 structure)</w:t>
      </w:r>
    </w:p>
    <w:p w14:paraId="7AA80D1C" w14:textId="77777777" w:rsidR="00CF2E15" w:rsidRPr="00CF2E15" w:rsidRDefault="00CF2E15" w:rsidP="00CF2E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Build full Governance Risk &amp; Control Matrix in extended format</w:t>
      </w:r>
    </w:p>
    <w:p w14:paraId="1C0BEAC7" w14:textId="77777777" w:rsidR="00CF2E15" w:rsidRPr="00CF2E15" w:rsidRDefault="00CF2E15" w:rsidP="00CF2E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Generate BPMN diagrams visually</w:t>
      </w:r>
    </w:p>
    <w:p w14:paraId="103A94A9" w14:textId="77777777" w:rsidR="00CF2E15" w:rsidRPr="00CF2E15" w:rsidRDefault="00CF2E15" w:rsidP="00CF2E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Design board-grade HR Operating Model Architecture Diagram</w:t>
      </w:r>
    </w:p>
    <w:p w14:paraId="3265CBFF" w14:textId="77777777" w:rsidR="00CF2E15" w:rsidRPr="00CF2E15" w:rsidRDefault="00CF2E15" w:rsidP="00CF2E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Create full forms package in structured table format</w:t>
      </w:r>
    </w:p>
    <w:p w14:paraId="064FBCBF" w14:textId="77777777" w:rsidR="00CF2E15" w:rsidRPr="00CF2E15" w:rsidRDefault="00CF2E15" w:rsidP="00CF2E15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 w:rsidRPr="00CF2E15"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>Convert into ISO-aligned policy manual ready for PDF publication</w:t>
      </w:r>
    </w:p>
    <w:p w14:paraId="3C08AD53" w14:textId="176A14BE" w:rsidR="00CF2E15" w:rsidRPr="00CF2E15" w:rsidRDefault="00A73DF9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  <w:t xml:space="preserve"> </w:t>
      </w:r>
    </w:p>
    <w:p w14:paraId="33EE1D00" w14:textId="77777777" w:rsidR="00CF2E15" w:rsidRPr="00CF2E15" w:rsidRDefault="00CF2E15" w:rsidP="00CF2E15">
      <w:pPr>
        <w:pBdr>
          <w:bottom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CF2E15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Top of Form</w:t>
      </w:r>
    </w:p>
    <w:p w14:paraId="50DB464A" w14:textId="77777777" w:rsidR="00CF2E15" w:rsidRPr="00CF2E15" w:rsidRDefault="00CF2E15" w:rsidP="00CF2E1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val="en-GB" w:eastAsia="en-GB" w:bidi="ar-SA"/>
          <w14:ligatures w14:val="none"/>
        </w:rPr>
      </w:pPr>
    </w:p>
    <w:p w14:paraId="0724750E" w14:textId="77777777" w:rsidR="00CF2E15" w:rsidRPr="00CF2E15" w:rsidRDefault="00CF2E15" w:rsidP="00CF2E15">
      <w:pPr>
        <w:pBdr>
          <w:top w:val="single" w:sz="6" w:space="1" w:color="auto"/>
        </w:pBdr>
        <w:spacing w:after="0" w:line="240" w:lineRule="auto"/>
        <w:jc w:val="center"/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</w:pPr>
      <w:r w:rsidRPr="00CF2E15">
        <w:rPr>
          <w:rFonts w:ascii="Arial" w:eastAsia="Times New Roman" w:hAnsi="Arial" w:cs="Arial"/>
          <w:vanish/>
          <w:kern w:val="0"/>
          <w:sz w:val="16"/>
          <w:szCs w:val="16"/>
          <w:lang w:val="en-GB" w:eastAsia="en-GB" w:bidi="ar-SA"/>
          <w14:ligatures w14:val="none"/>
        </w:rPr>
        <w:t>Bottom of Form</w:t>
      </w:r>
    </w:p>
    <w:p w14:paraId="153560A9" w14:textId="77777777" w:rsidR="009650D2" w:rsidRDefault="009650D2"/>
    <w:sectPr w:rsidR="009650D2" w:rsidSect="00CF2E15">
      <w:headerReference w:type="default" r:id="rId8"/>
      <w:footerReference w:type="default" r:id="rId9"/>
      <w:pgSz w:w="11906" w:h="16838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4A48F8" w14:textId="77777777" w:rsidR="00A2147B" w:rsidRDefault="00A2147B" w:rsidP="00A73DF9">
      <w:pPr>
        <w:spacing w:after="0" w:line="240" w:lineRule="auto"/>
      </w:pPr>
      <w:r>
        <w:separator/>
      </w:r>
    </w:p>
  </w:endnote>
  <w:endnote w:type="continuationSeparator" w:id="0">
    <w:p w14:paraId="248447E9" w14:textId="77777777" w:rsidR="00A2147B" w:rsidRDefault="00A2147B" w:rsidP="00A73D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  <w:sz w:val="28"/>
        <w:szCs w:val="28"/>
        <w:lang w:val="en-GB"/>
      </w:rPr>
      <w:id w:val="-1059774995"/>
      <w:docPartObj>
        <w:docPartGallery w:val="Page Numbers (Bottom of Page)"/>
        <w:docPartUnique/>
      </w:docPartObj>
    </w:sdtPr>
    <w:sdtEndPr>
      <w:rPr>
        <w:lang w:val="en-US"/>
      </w:rPr>
    </w:sdtEndPr>
    <w:sdtContent>
      <w:p w14:paraId="16D8B6D6" w14:textId="4F393321" w:rsidR="00A73DF9" w:rsidRDefault="00A73DF9">
        <w:pPr>
          <w:pStyle w:val="Footer"/>
          <w:jc w:val="right"/>
          <w:rPr>
            <w:rFonts w:asciiTheme="majorHAnsi" w:eastAsiaTheme="majorEastAsia" w:hAnsiTheme="majorHAnsi" w:cstheme="majorBidi"/>
            <w:sz w:val="28"/>
            <w:szCs w:val="28"/>
          </w:rPr>
        </w:pP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 xml:space="preserve">pg.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  <w:lang w:val="en-GB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2870E60F" w14:textId="77777777" w:rsidR="00A73DF9" w:rsidRDefault="00A73D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C482A" w14:textId="77777777" w:rsidR="00A2147B" w:rsidRDefault="00A2147B" w:rsidP="00A73DF9">
      <w:pPr>
        <w:spacing w:after="0" w:line="240" w:lineRule="auto"/>
      </w:pPr>
      <w:r>
        <w:separator/>
      </w:r>
    </w:p>
  </w:footnote>
  <w:footnote w:type="continuationSeparator" w:id="0">
    <w:p w14:paraId="0725A4D8" w14:textId="77777777" w:rsidR="00A2147B" w:rsidRDefault="00A2147B" w:rsidP="00A73DF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60C64" w14:textId="693BA0F9" w:rsidR="00A73DF9" w:rsidRDefault="00A73DF9">
    <w:pPr>
      <w:pStyle w:val="Header"/>
    </w:pPr>
    <w:r w:rsidRPr="00A73DF9">
      <w:t>14_Human_Resources_Interface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97DC7"/>
    <w:multiLevelType w:val="multilevel"/>
    <w:tmpl w:val="0F766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55E34"/>
    <w:multiLevelType w:val="multilevel"/>
    <w:tmpl w:val="8F321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7154E3"/>
    <w:multiLevelType w:val="multilevel"/>
    <w:tmpl w:val="C1AA4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5A00FE"/>
    <w:multiLevelType w:val="multilevel"/>
    <w:tmpl w:val="92C05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BF07B4"/>
    <w:multiLevelType w:val="multilevel"/>
    <w:tmpl w:val="8C96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D57331"/>
    <w:multiLevelType w:val="multilevel"/>
    <w:tmpl w:val="FCD87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7D3AE8"/>
    <w:multiLevelType w:val="multilevel"/>
    <w:tmpl w:val="11C27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ED3A2A"/>
    <w:multiLevelType w:val="multilevel"/>
    <w:tmpl w:val="44725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CE5711"/>
    <w:multiLevelType w:val="multilevel"/>
    <w:tmpl w:val="FF669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26C74BC"/>
    <w:multiLevelType w:val="multilevel"/>
    <w:tmpl w:val="21F03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2F0233A"/>
    <w:multiLevelType w:val="multilevel"/>
    <w:tmpl w:val="5666F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F75129F"/>
    <w:multiLevelType w:val="multilevel"/>
    <w:tmpl w:val="413C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FEA0825"/>
    <w:multiLevelType w:val="multilevel"/>
    <w:tmpl w:val="6C58F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014870"/>
    <w:multiLevelType w:val="multilevel"/>
    <w:tmpl w:val="7F623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4FE6074"/>
    <w:multiLevelType w:val="multilevel"/>
    <w:tmpl w:val="095C8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B6C7C68"/>
    <w:multiLevelType w:val="multilevel"/>
    <w:tmpl w:val="C4F44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D334A64"/>
    <w:multiLevelType w:val="multilevel"/>
    <w:tmpl w:val="5D4A4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2372F7"/>
    <w:multiLevelType w:val="multilevel"/>
    <w:tmpl w:val="77543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6093620"/>
    <w:multiLevelType w:val="multilevel"/>
    <w:tmpl w:val="37F08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E50291"/>
    <w:multiLevelType w:val="multilevel"/>
    <w:tmpl w:val="2536F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0511FE8"/>
    <w:multiLevelType w:val="multilevel"/>
    <w:tmpl w:val="91E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74475683">
    <w:abstractNumId w:val="8"/>
  </w:num>
  <w:num w:numId="2" w16cid:durableId="1096171506">
    <w:abstractNumId w:val="18"/>
  </w:num>
  <w:num w:numId="3" w16cid:durableId="738526485">
    <w:abstractNumId w:val="17"/>
  </w:num>
  <w:num w:numId="4" w16cid:durableId="1230188656">
    <w:abstractNumId w:val="3"/>
  </w:num>
  <w:num w:numId="5" w16cid:durableId="1716735172">
    <w:abstractNumId w:val="20"/>
  </w:num>
  <w:num w:numId="6" w16cid:durableId="1737901235">
    <w:abstractNumId w:val="7"/>
  </w:num>
  <w:num w:numId="7" w16cid:durableId="124809672">
    <w:abstractNumId w:val="14"/>
  </w:num>
  <w:num w:numId="8" w16cid:durableId="1535922559">
    <w:abstractNumId w:val="16"/>
  </w:num>
  <w:num w:numId="9" w16cid:durableId="2026327701">
    <w:abstractNumId w:val="6"/>
  </w:num>
  <w:num w:numId="10" w16cid:durableId="1739480524">
    <w:abstractNumId w:val="19"/>
  </w:num>
  <w:num w:numId="11" w16cid:durableId="283578030">
    <w:abstractNumId w:val="2"/>
  </w:num>
  <w:num w:numId="12" w16cid:durableId="1678999131">
    <w:abstractNumId w:val="15"/>
  </w:num>
  <w:num w:numId="13" w16cid:durableId="1320311284">
    <w:abstractNumId w:val="10"/>
  </w:num>
  <w:num w:numId="14" w16cid:durableId="1161000155">
    <w:abstractNumId w:val="5"/>
  </w:num>
  <w:num w:numId="15" w16cid:durableId="381175619">
    <w:abstractNumId w:val="12"/>
  </w:num>
  <w:num w:numId="16" w16cid:durableId="908417370">
    <w:abstractNumId w:val="1"/>
  </w:num>
  <w:num w:numId="17" w16cid:durableId="1354917913">
    <w:abstractNumId w:val="4"/>
  </w:num>
  <w:num w:numId="18" w16cid:durableId="290283788">
    <w:abstractNumId w:val="9"/>
  </w:num>
  <w:num w:numId="19" w16cid:durableId="1128202938">
    <w:abstractNumId w:val="13"/>
  </w:num>
  <w:num w:numId="20" w16cid:durableId="527060533">
    <w:abstractNumId w:val="11"/>
  </w:num>
  <w:num w:numId="21" w16cid:durableId="1623729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E15"/>
    <w:rsid w:val="00006503"/>
    <w:rsid w:val="000255D3"/>
    <w:rsid w:val="000B6FB0"/>
    <w:rsid w:val="001A217F"/>
    <w:rsid w:val="002D2B53"/>
    <w:rsid w:val="003575C5"/>
    <w:rsid w:val="00361BC5"/>
    <w:rsid w:val="003926D6"/>
    <w:rsid w:val="003E072D"/>
    <w:rsid w:val="00412B85"/>
    <w:rsid w:val="004B6DC6"/>
    <w:rsid w:val="00571686"/>
    <w:rsid w:val="0058252A"/>
    <w:rsid w:val="00596FCE"/>
    <w:rsid w:val="005A7D89"/>
    <w:rsid w:val="005C35C3"/>
    <w:rsid w:val="006755E9"/>
    <w:rsid w:val="009650D2"/>
    <w:rsid w:val="00A2147B"/>
    <w:rsid w:val="00A73DF9"/>
    <w:rsid w:val="00AB6B21"/>
    <w:rsid w:val="00B70AAC"/>
    <w:rsid w:val="00C80371"/>
    <w:rsid w:val="00CC6EB7"/>
    <w:rsid w:val="00CF2E15"/>
    <w:rsid w:val="00D613DB"/>
    <w:rsid w:val="00DE12BB"/>
    <w:rsid w:val="00FB73B0"/>
    <w:rsid w:val="00FF20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E32B73"/>
  <w15:chartTrackingRefBased/>
  <w15:docId w15:val="{43FF8680-9048-4FAA-882C-848A734C82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 w:bidi="ar-EG"/>
    </w:rPr>
  </w:style>
  <w:style w:type="paragraph" w:styleId="Heading1">
    <w:name w:val="heading 1"/>
    <w:basedOn w:val="Normal"/>
    <w:next w:val="Normal"/>
    <w:link w:val="Heading1Char"/>
    <w:uiPriority w:val="9"/>
    <w:qFormat/>
    <w:rsid w:val="00CF2E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F2E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E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E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E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E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E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E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E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E1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bidi="ar-EG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F2E1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US" w:bidi="ar-EG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E15"/>
    <w:rPr>
      <w:rFonts w:eastAsiaTheme="majorEastAsia" w:cstheme="majorBidi"/>
      <w:color w:val="0F4761" w:themeColor="accent1" w:themeShade="BF"/>
      <w:sz w:val="28"/>
      <w:szCs w:val="28"/>
      <w:lang w:val="en-US" w:bidi="ar-EG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E15"/>
    <w:rPr>
      <w:rFonts w:eastAsiaTheme="majorEastAsia" w:cstheme="majorBidi"/>
      <w:i/>
      <w:iCs/>
      <w:color w:val="0F4761" w:themeColor="accent1" w:themeShade="BF"/>
      <w:lang w:val="en-US" w:bidi="ar-EG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E15"/>
    <w:rPr>
      <w:rFonts w:eastAsiaTheme="majorEastAsia" w:cstheme="majorBidi"/>
      <w:color w:val="0F4761" w:themeColor="accent1" w:themeShade="BF"/>
      <w:lang w:val="en-US" w:bidi="ar-EG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E15"/>
    <w:rPr>
      <w:rFonts w:eastAsiaTheme="majorEastAsia" w:cstheme="majorBidi"/>
      <w:i/>
      <w:iCs/>
      <w:color w:val="595959" w:themeColor="text1" w:themeTint="A6"/>
      <w:lang w:val="en-US" w:bidi="ar-EG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E15"/>
    <w:rPr>
      <w:rFonts w:eastAsiaTheme="majorEastAsia" w:cstheme="majorBidi"/>
      <w:color w:val="595959" w:themeColor="text1" w:themeTint="A6"/>
      <w:lang w:val="en-US" w:bidi="ar-EG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E15"/>
    <w:rPr>
      <w:rFonts w:eastAsiaTheme="majorEastAsia" w:cstheme="majorBidi"/>
      <w:i/>
      <w:iCs/>
      <w:color w:val="272727" w:themeColor="text1" w:themeTint="D8"/>
      <w:lang w:val="en-US" w:bidi="ar-EG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E15"/>
    <w:rPr>
      <w:rFonts w:eastAsiaTheme="majorEastAsia" w:cstheme="majorBidi"/>
      <w:color w:val="272727" w:themeColor="text1" w:themeTint="D8"/>
      <w:lang w:val="en-US" w:bidi="ar-EG"/>
    </w:rPr>
  </w:style>
  <w:style w:type="paragraph" w:styleId="Title">
    <w:name w:val="Title"/>
    <w:basedOn w:val="Normal"/>
    <w:next w:val="Normal"/>
    <w:link w:val="TitleChar"/>
    <w:uiPriority w:val="10"/>
    <w:qFormat/>
    <w:rsid w:val="00CF2E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E15"/>
    <w:rPr>
      <w:rFonts w:asciiTheme="majorHAnsi" w:eastAsiaTheme="majorEastAsia" w:hAnsiTheme="majorHAnsi" w:cstheme="majorBidi"/>
      <w:spacing w:val="-10"/>
      <w:kern w:val="28"/>
      <w:sz w:val="56"/>
      <w:szCs w:val="56"/>
      <w:lang w:val="en-US" w:bidi="ar-EG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E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E15"/>
    <w:rPr>
      <w:rFonts w:eastAsiaTheme="majorEastAsia" w:cstheme="majorBidi"/>
      <w:color w:val="595959" w:themeColor="text1" w:themeTint="A6"/>
      <w:spacing w:val="15"/>
      <w:sz w:val="28"/>
      <w:szCs w:val="28"/>
      <w:lang w:val="en-US" w:bidi="ar-EG"/>
    </w:rPr>
  </w:style>
  <w:style w:type="paragraph" w:styleId="Quote">
    <w:name w:val="Quote"/>
    <w:basedOn w:val="Normal"/>
    <w:next w:val="Normal"/>
    <w:link w:val="QuoteChar"/>
    <w:uiPriority w:val="29"/>
    <w:qFormat/>
    <w:rsid w:val="00CF2E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E15"/>
    <w:rPr>
      <w:i/>
      <w:iCs/>
      <w:color w:val="404040" w:themeColor="text1" w:themeTint="BF"/>
      <w:lang w:val="en-US" w:bidi="ar-EG"/>
    </w:rPr>
  </w:style>
  <w:style w:type="paragraph" w:styleId="ListParagraph">
    <w:name w:val="List Paragraph"/>
    <w:basedOn w:val="Normal"/>
    <w:uiPriority w:val="34"/>
    <w:qFormat/>
    <w:rsid w:val="00CF2E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E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E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E15"/>
    <w:rPr>
      <w:i/>
      <w:iCs/>
      <w:color w:val="0F4761" w:themeColor="accent1" w:themeShade="BF"/>
      <w:lang w:val="en-US" w:bidi="ar-EG"/>
    </w:rPr>
  </w:style>
  <w:style w:type="character" w:styleId="IntenseReference">
    <w:name w:val="Intense Reference"/>
    <w:basedOn w:val="DefaultParagraphFont"/>
    <w:uiPriority w:val="32"/>
    <w:qFormat/>
    <w:rsid w:val="00CF2E1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73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3DF9"/>
    <w:rPr>
      <w:lang w:val="en-US" w:bidi="ar-EG"/>
    </w:rPr>
  </w:style>
  <w:style w:type="paragraph" w:styleId="Footer">
    <w:name w:val="footer"/>
    <w:basedOn w:val="Normal"/>
    <w:link w:val="FooterChar"/>
    <w:uiPriority w:val="99"/>
    <w:unhideWhenUsed/>
    <w:rsid w:val="00A73DF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3DF9"/>
    <w:rPr>
      <w:lang w:val="en-US" w:bidi="ar-EG"/>
    </w:rPr>
  </w:style>
  <w:style w:type="table" w:styleId="PlainTable1">
    <w:name w:val="Plain Table 1"/>
    <w:basedOn w:val="TableNormal"/>
    <w:uiPriority w:val="41"/>
    <w:rsid w:val="00A73DF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</Pages>
  <Words>859</Words>
  <Characters>4900</Characters>
  <Application>Microsoft Office Word</Application>
  <DocSecurity>0</DocSecurity>
  <Lines>40</Lines>
  <Paragraphs>11</Paragraphs>
  <ScaleCrop>false</ScaleCrop>
  <Company/>
  <LinksUpToDate>false</LinksUpToDate>
  <CharactersWithSpaces>5748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</dc:creator>
  <cp:keywords/>
  <dc:description/>
  <cp:lastModifiedBy>HM</cp:lastModifiedBy>
  <cp:revision>2</cp:revision>
  <dcterms:created xsi:type="dcterms:W3CDTF">2026-03-10T01:36:00Z</dcterms:created>
  <dcterms:modified xsi:type="dcterms:W3CDTF">2026-03-10T01:36:00Z</dcterms:modified>
</cp:coreProperties>
</file>