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DEC8" w14:textId="77777777" w:rsidR="00547A92" w:rsidRPr="00547A92" w:rsidRDefault="00547A92" w:rsidP="00322D9D">
      <w:pPr>
        <w:shd w:val="clear" w:color="auto" w:fill="0A2F41" w:themeFill="accent1" w:themeFillShade="80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05_CapEx_Projects</w:t>
      </w:r>
    </w:p>
    <w:p w14:paraId="3D0182EB" w14:textId="2C4787F8" w:rsidR="00547A92" w:rsidRDefault="00547A92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val="en-GB" w:eastAsia="en-GB"/>
          <w14:ligatures w14:val="none"/>
        </w:rPr>
      </w:pPr>
    </w:p>
    <w:p w14:paraId="76E987BE" w14:textId="59842162" w:rsidR="00547A92" w:rsidRPr="00547A92" w:rsidRDefault="00547A92" w:rsidP="00322D9D">
      <w:pPr>
        <w:shd w:val="clear" w:color="auto" w:fill="0A2F41" w:themeFill="accent1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05_CapEx_Projects</w:t>
      </w:r>
    </w:p>
    <w:p w14:paraId="78097E61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Capital Expenditure Projects – Policy &amp; Procedures Framework (RAM P&amp;P Manual)</w:t>
      </w: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547A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(Structured in WBS format aligned with governance, risk, and control architecture)</w:t>
      </w:r>
    </w:p>
    <w:p w14:paraId="1F4240E8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1A3F09">
          <v:rect id="_x0000_i1025" style="width:0;height:1.5pt" o:hralign="center" o:hrstd="t" o:hr="t" fillcolor="#a0a0a0" stroked="f"/>
        </w:pict>
      </w:r>
    </w:p>
    <w:p w14:paraId="4BC0CCE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05.1 CapEx Governance &amp; Policy Framework</w:t>
      </w:r>
    </w:p>
    <w:p w14:paraId="3E80FAA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05.1.1 Capital Investment Policy</w:t>
      </w:r>
    </w:p>
    <w:p w14:paraId="751DB35C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Define approval authority, financial thresholds, and lifecycle governance of CapEx projects.</w:t>
      </w:r>
    </w:p>
    <w:p w14:paraId="0F76BB9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05.1.1.1 CapEx Classification</w:t>
      </w:r>
    </w:p>
    <w:p w14:paraId="5906A049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Expansion Projects</w:t>
      </w:r>
    </w:p>
    <w:p w14:paraId="6E3FFEF6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Revenue-Enhancing Projects</w:t>
      </w:r>
    </w:p>
    <w:p w14:paraId="28251988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Replacement Projects</w:t>
      </w:r>
    </w:p>
    <w:p w14:paraId="32513B1E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/ Regulatory Projects</w:t>
      </w:r>
    </w:p>
    <w:p w14:paraId="7155B707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Sustainability &amp; Energy Efficiency Projects</w:t>
      </w:r>
    </w:p>
    <w:p w14:paraId="005B6C2D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05.1.1.2 Financial Thresholds &amp; Approval Matrix</w:t>
      </w:r>
    </w:p>
    <w:p w14:paraId="4E51ABBA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&lt; EGP X million → Management Committee</w:t>
      </w:r>
    </w:p>
    <w:p w14:paraId="2E35CCF3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EGP X–Y million → Investment Committee</w:t>
      </w:r>
    </w:p>
    <w:p w14:paraId="610447FD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EGP Y million → Board Approval</w:t>
      </w:r>
    </w:p>
    <w:p w14:paraId="7C4A9A36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05.1.1.3 Capital Budgeting Cycle</w:t>
      </w:r>
    </w:p>
    <w:p w14:paraId="550AF9A2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CapEx planning</w:t>
      </w:r>
    </w:p>
    <w:p w14:paraId="2117AAF9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3-year rolling forecast</w:t>
      </w:r>
    </w:p>
    <w:p w14:paraId="2406D43F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Mid-year reforecast</w:t>
      </w:r>
    </w:p>
    <w:p w14:paraId="35093ACC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3E2169A5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F-05-001 CapEx Request Form</w:t>
      </w:r>
    </w:p>
    <w:p w14:paraId="22DEA800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F-05-002 Investment Appraisal Sheet</w:t>
      </w:r>
    </w:p>
    <w:p w14:paraId="52DFBF4C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F-05-003 Approval Memo Template</w:t>
      </w:r>
    </w:p>
    <w:p w14:paraId="6CBAA265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F0F871">
          <v:rect id="_x0000_i1026" style="width:0;height:1.5pt" o:hralign="center" o:hrstd="t" o:hr="t" fillcolor="#a0a0a0" stroked="f"/>
        </w:pict>
      </w:r>
    </w:p>
    <w:p w14:paraId="4EF4EA16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05.2 Project Initiation &amp; Feasibility</w:t>
      </w:r>
    </w:p>
    <w:p w14:paraId="24C52F5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05.2.1 Project Identification Procedure</w:t>
      </w:r>
    </w:p>
    <w:p w14:paraId="3BB55B1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05.2.1.1 Business Case Development</w:t>
      </w:r>
    </w:p>
    <w:p w14:paraId="3775712E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alignment assessment</w:t>
      </w:r>
    </w:p>
    <w:p w14:paraId="2F83BF0A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Demand analysis</w:t>
      </w:r>
    </w:p>
    <w:p w14:paraId="6C44A77D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scope definition</w:t>
      </w:r>
    </w:p>
    <w:p w14:paraId="20DA63D8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Preliminary cost estimate</w:t>
      </w:r>
    </w:p>
    <w:p w14:paraId="75350BA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05.2.1.2 Feasibility Study Requirements</w:t>
      </w:r>
    </w:p>
    <w:p w14:paraId="0F0C78EF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Feasibility</w:t>
      </w:r>
    </w:p>
    <w:p w14:paraId="6C882118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Feasibility</w:t>
      </w:r>
    </w:p>
    <w:p w14:paraId="3D6A7F5E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Feasibility (NPV, IRR, Payback)</w:t>
      </w:r>
    </w:p>
    <w:p w14:paraId="39A5177C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0D82BDD3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/ Sustainability Screening</w:t>
      </w:r>
    </w:p>
    <w:p w14:paraId="6BB90FF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05.2.1.3 Sensitivity &amp; Scenario Analysis</w:t>
      </w:r>
    </w:p>
    <w:p w14:paraId="35A60EB5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Best case</w:t>
      </w:r>
    </w:p>
    <w:p w14:paraId="3E8F1464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Base case</w:t>
      </w:r>
    </w:p>
    <w:p w14:paraId="120E039E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Stress case</w:t>
      </w:r>
    </w:p>
    <w:p w14:paraId="3EAD7C38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2083568C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F-05-010 Feasibility Checklist</w:t>
      </w:r>
    </w:p>
    <w:p w14:paraId="699C0968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F-05-011 Financial Model Template</w:t>
      </w:r>
    </w:p>
    <w:p w14:paraId="2221BEBD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F-05-012 Risk Register</w:t>
      </w:r>
    </w:p>
    <w:p w14:paraId="039F17FB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77B50E">
          <v:rect id="_x0000_i1027" style="width:0;height:1.5pt" o:hralign="center" o:hrstd="t" o:hr="t" fillcolor="#a0a0a0" stroked="f"/>
        </w:pict>
      </w:r>
    </w:p>
    <w:p w14:paraId="096797F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05.3 Planning &amp; Design Phase</w:t>
      </w:r>
    </w:p>
    <w:p w14:paraId="663D461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05.3.1 Project Planning Procedure</w:t>
      </w:r>
    </w:p>
    <w:p w14:paraId="57B6505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05.3.1.1 Scope Definition</w:t>
      </w:r>
    </w:p>
    <w:p w14:paraId="08343894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Breakdown Structure (WBS)</w:t>
      </w:r>
    </w:p>
    <w:p w14:paraId="566B30A0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Deliverables mapping</w:t>
      </w:r>
    </w:p>
    <w:p w14:paraId="69354011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Milestone chart</w:t>
      </w:r>
    </w:p>
    <w:p w14:paraId="3AE7B32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05.3.1.2 Budget Finalization</w:t>
      </w:r>
    </w:p>
    <w:p w14:paraId="65CFC27E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Detailed cost estimate (</w:t>
      </w:r>
      <w:proofErr w:type="spellStart"/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BoQ</w:t>
      </w:r>
      <w:proofErr w:type="spellEnd"/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)</w:t>
      </w:r>
    </w:p>
    <w:p w14:paraId="6E653CE1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Contingency allocation</w:t>
      </w:r>
    </w:p>
    <w:p w14:paraId="3CDD6D2A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assumptions</w:t>
      </w:r>
    </w:p>
    <w:p w14:paraId="15B1AD9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05.3.1.3 Procurement Strategy</w:t>
      </w:r>
    </w:p>
    <w:p w14:paraId="5C5E3334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EPC vs Design-Build vs Traditional</w:t>
      </w:r>
    </w:p>
    <w:p w14:paraId="24DF438F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Tender strategy</w:t>
      </w:r>
    </w:p>
    <w:p w14:paraId="242F8D7B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Prequalification criteria</w:t>
      </w:r>
    </w:p>
    <w:p w14:paraId="4F537AE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05.3.1.4 Permits &amp; Regulatory Approvals</w:t>
      </w:r>
    </w:p>
    <w:p w14:paraId="509FCEBB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Municipal approvals</w:t>
      </w:r>
    </w:p>
    <w:p w14:paraId="1DCAC6B5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Environmental clearance</w:t>
      </w:r>
    </w:p>
    <w:p w14:paraId="0735E161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coordination</w:t>
      </w:r>
    </w:p>
    <w:p w14:paraId="3913EEA0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4CB6464B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F-05-020 Detailed Budget Template</w:t>
      </w:r>
    </w:p>
    <w:p w14:paraId="07B380BE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F-05-021 Procurement Strategy Memo</w:t>
      </w:r>
    </w:p>
    <w:p w14:paraId="0C5EB62B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F-05-022 Permits Tracker</w:t>
      </w:r>
    </w:p>
    <w:p w14:paraId="287F4B7E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69C828">
          <v:rect id="_x0000_i1028" style="width:0;height:1.5pt" o:hralign="center" o:hrstd="t" o:hr="t" fillcolor="#a0a0a0" stroked="f"/>
        </w:pict>
      </w:r>
    </w:p>
    <w:p w14:paraId="367FD94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05.4 Procurement &amp; Contracting</w:t>
      </w:r>
    </w:p>
    <w:p w14:paraId="61BF044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05.4.1 Tendering Procedure</w:t>
      </w:r>
    </w:p>
    <w:p w14:paraId="781329CC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05.4.1.1 Tender Documentation</w:t>
      </w:r>
    </w:p>
    <w:p w14:paraId="12375E70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Specifications</w:t>
      </w:r>
    </w:p>
    <w:p w14:paraId="712EB4BE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Commercial Conditions</w:t>
      </w:r>
    </w:p>
    <w:p w14:paraId="27D8D6DC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Evaluation Criteria</w:t>
      </w:r>
    </w:p>
    <w:p w14:paraId="44B776E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05.4.1.2 Bid Evaluation</w:t>
      </w:r>
    </w:p>
    <w:p w14:paraId="4D58A873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scoring</w:t>
      </w:r>
    </w:p>
    <w:p w14:paraId="5D431047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evaluation</w:t>
      </w:r>
    </w:p>
    <w:p w14:paraId="70D45F16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Weighted model scoring</w:t>
      </w:r>
    </w:p>
    <w:p w14:paraId="1E50D36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05.4.1.3 Contract Award &amp; Signing</w:t>
      </w:r>
    </w:p>
    <w:p w14:paraId="1DCA7BAC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7BF72EE0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bond</w:t>
      </w:r>
    </w:p>
    <w:p w14:paraId="54CE4CD2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Insurance requirements</w:t>
      </w:r>
    </w:p>
    <w:p w14:paraId="09660177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2952D84C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F-05-030 Tender Evaluation Matrix</w:t>
      </w:r>
    </w:p>
    <w:p w14:paraId="6A409993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F-05-031 Contract Award Recommendation</w:t>
      </w:r>
    </w:p>
    <w:p w14:paraId="4B507E8F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F-05-032 Performance Bond Register</w:t>
      </w:r>
    </w:p>
    <w:p w14:paraId="6A140BD6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3079DA">
          <v:rect id="_x0000_i1029" style="width:0;height:1.5pt" o:hralign="center" o:hrstd="t" o:hr="t" fillcolor="#a0a0a0" stroked="f"/>
        </w:pict>
      </w:r>
    </w:p>
    <w:p w14:paraId="1E17136B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05.5 Project Execution &amp; Monitoring</w:t>
      </w:r>
    </w:p>
    <w:p w14:paraId="7650C15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05.5.1 Construction Management Procedure</w:t>
      </w:r>
    </w:p>
    <w:p w14:paraId="13152B47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05.5.1.1 Site Mobilization</w:t>
      </w:r>
    </w:p>
    <w:p w14:paraId="2E29F72B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Kick-off meeting</w:t>
      </w:r>
    </w:p>
    <w:p w14:paraId="1AFC0530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HSE compliance</w:t>
      </w:r>
    </w:p>
    <w:p w14:paraId="515FD0BD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Site logistics plan</w:t>
      </w:r>
    </w:p>
    <w:p w14:paraId="63D7B56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05.5.1.2 Progress Monitoring</w:t>
      </w:r>
    </w:p>
    <w:p w14:paraId="65563875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Weekly progress reports</w:t>
      </w:r>
    </w:p>
    <w:p w14:paraId="37C0C1C3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Earned Value Management (EVM)</w:t>
      </w:r>
    </w:p>
    <w:p w14:paraId="78D626D6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 variance tracking</w:t>
      </w:r>
    </w:p>
    <w:p w14:paraId="4A9CC72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05.5.1.3 Cost Control</w:t>
      </w:r>
    </w:p>
    <w:p w14:paraId="7B90A364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Commitment tracking</w:t>
      </w:r>
    </w:p>
    <w:p w14:paraId="76D92212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Change order control</w:t>
      </w:r>
    </w:p>
    <w:p w14:paraId="02FCF85D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Variation approval matrix</w:t>
      </w:r>
    </w:p>
    <w:p w14:paraId="3DD0C9F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05.5.1.4 Quality Assurance</w:t>
      </w:r>
    </w:p>
    <w:p w14:paraId="0DE031AB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Inspection &amp; test plans</w:t>
      </w:r>
    </w:p>
    <w:p w14:paraId="6CDE350D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Snagging procedure</w:t>
      </w:r>
    </w:p>
    <w:p w14:paraId="23A61BF3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Commissioning checklist</w:t>
      </w:r>
    </w:p>
    <w:p w14:paraId="368B063B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0E7ACDD1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F-05-040 Progress Report Template</w:t>
      </w:r>
    </w:p>
    <w:p w14:paraId="1836903D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F-05-041 Change Order Request</w:t>
      </w:r>
    </w:p>
    <w:p w14:paraId="00482851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F-05-042 QA/QC Checklist</w:t>
      </w:r>
    </w:p>
    <w:p w14:paraId="6B3F48B8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F-05-043 Commissioning Certificate</w:t>
      </w:r>
    </w:p>
    <w:p w14:paraId="75D5BBDE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BF796E">
          <v:rect id="_x0000_i1030" style="width:0;height:1.5pt" o:hralign="center" o:hrstd="t" o:hr="t" fillcolor="#a0a0a0" stroked="f"/>
        </w:pict>
      </w:r>
    </w:p>
    <w:p w14:paraId="239539FF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05.6 Handover &amp; Asset Capitalization</w:t>
      </w:r>
    </w:p>
    <w:p w14:paraId="2EDEB957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05.6.1 Project Close-Out Procedure</w:t>
      </w:r>
    </w:p>
    <w:p w14:paraId="3178FFF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05.6.1.1 Technical Handover</w:t>
      </w:r>
    </w:p>
    <w:p w14:paraId="09FFA961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As-built drawings</w:t>
      </w:r>
    </w:p>
    <w:p w14:paraId="3011A623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O&amp;M manuals</w:t>
      </w:r>
    </w:p>
    <w:p w14:paraId="301F5386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tagging</w:t>
      </w:r>
    </w:p>
    <w:p w14:paraId="3CD4081B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05.6.1.2 Financial Closure</w:t>
      </w:r>
    </w:p>
    <w:p w14:paraId="2D47D824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Final account settlement</w:t>
      </w:r>
    </w:p>
    <w:p w14:paraId="383B98DF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reconciliation</w:t>
      </w:r>
    </w:p>
    <w:p w14:paraId="61647AE7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Capitalization into Fixed Asset Register</w:t>
      </w:r>
    </w:p>
    <w:p w14:paraId="66CBCC3A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05.6.1.3 Post-Implementation Review (PIR)</w:t>
      </w:r>
    </w:p>
    <w:p w14:paraId="3366C4E2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Actual vs forecast ROI</w:t>
      </w:r>
    </w:p>
    <w:p w14:paraId="089BD697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Lessons learned</w:t>
      </w:r>
    </w:p>
    <w:p w14:paraId="5D841314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performance assessment</w:t>
      </w:r>
    </w:p>
    <w:p w14:paraId="2EDCD742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693AD584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F-05-050 Handover Checklist</w:t>
      </w:r>
    </w:p>
    <w:p w14:paraId="111E214B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F-05-051 Final Account Statement</w:t>
      </w:r>
    </w:p>
    <w:p w14:paraId="4BEFE2C8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F-05-052 Post-Implementation Review Template</w:t>
      </w:r>
    </w:p>
    <w:p w14:paraId="4CDBF6C3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A27DF9">
          <v:rect id="_x0000_i1031" style="width:0;height:1.5pt" o:hralign="center" o:hrstd="t" o:hr="t" fillcolor="#a0a0a0" stroked="f"/>
        </w:pict>
      </w:r>
    </w:p>
    <w:p w14:paraId="2D966418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05.7 Governance Risk &amp; Control Matrix (Aligned with COSO &amp; ISO 37301)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6"/>
        <w:gridCol w:w="1562"/>
        <w:gridCol w:w="1595"/>
        <w:gridCol w:w="1474"/>
        <w:gridCol w:w="1537"/>
        <w:gridCol w:w="1372"/>
      </w:tblGrid>
      <w:tr w:rsidR="00547A92" w:rsidRPr="00547A92" w14:paraId="7D6479F7" w14:textId="77777777" w:rsidTr="006557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7D8AAA9B" w14:textId="77777777" w:rsidR="00547A92" w:rsidRPr="00547A92" w:rsidRDefault="00547A92" w:rsidP="0065570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Category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BBFFDDC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Risk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F7ABD03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2B1D8A2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Owner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3BD08FB3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 Component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B259F7E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547A92" w:rsidRPr="00547A92" w14:paraId="6BF5220D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7E6BA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</w:t>
            </w:r>
          </w:p>
        </w:tc>
        <w:tc>
          <w:tcPr>
            <w:tcW w:w="0" w:type="auto"/>
            <w:hideMark/>
          </w:tcPr>
          <w:p w14:paraId="4E4B39EC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Misaligned investment</w:t>
            </w:r>
          </w:p>
        </w:tc>
        <w:tc>
          <w:tcPr>
            <w:tcW w:w="0" w:type="auto"/>
            <w:hideMark/>
          </w:tcPr>
          <w:p w14:paraId="36F9F019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approval &amp; strategy mapping</w:t>
            </w:r>
          </w:p>
        </w:tc>
        <w:tc>
          <w:tcPr>
            <w:tcW w:w="0" w:type="auto"/>
            <w:hideMark/>
          </w:tcPr>
          <w:p w14:paraId="2D7CAEFF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  <w:tc>
          <w:tcPr>
            <w:tcW w:w="0" w:type="auto"/>
            <w:hideMark/>
          </w:tcPr>
          <w:p w14:paraId="23524428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Environment</w:t>
            </w:r>
          </w:p>
        </w:tc>
        <w:tc>
          <w:tcPr>
            <w:tcW w:w="0" w:type="auto"/>
            <w:hideMark/>
          </w:tcPr>
          <w:p w14:paraId="260D6C0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Business Case</w:t>
            </w:r>
          </w:p>
        </w:tc>
      </w:tr>
      <w:tr w:rsidR="00547A92" w:rsidRPr="00547A92" w14:paraId="44A9AE6A" w14:textId="77777777" w:rsidTr="006557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835B3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3FA0D9F0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overruns</w:t>
            </w:r>
          </w:p>
        </w:tc>
        <w:tc>
          <w:tcPr>
            <w:tcW w:w="0" w:type="auto"/>
            <w:hideMark/>
          </w:tcPr>
          <w:p w14:paraId="18D591B9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vs actual monthly review</w:t>
            </w:r>
          </w:p>
        </w:tc>
        <w:tc>
          <w:tcPr>
            <w:tcW w:w="0" w:type="auto"/>
            <w:hideMark/>
          </w:tcPr>
          <w:p w14:paraId="54442F43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6D5FB00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</w:t>
            </w:r>
          </w:p>
        </w:tc>
        <w:tc>
          <w:tcPr>
            <w:tcW w:w="0" w:type="auto"/>
            <w:hideMark/>
          </w:tcPr>
          <w:p w14:paraId="6A0B0AC9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Report</w:t>
            </w:r>
          </w:p>
        </w:tc>
      </w:tr>
      <w:tr w:rsidR="00547A92" w:rsidRPr="00547A92" w14:paraId="039F1263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4F9D7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3A418512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Delays</w:t>
            </w:r>
          </w:p>
        </w:tc>
        <w:tc>
          <w:tcPr>
            <w:tcW w:w="0" w:type="auto"/>
            <w:hideMark/>
          </w:tcPr>
          <w:p w14:paraId="7E9AE6D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EVM monitoring</w:t>
            </w:r>
          </w:p>
        </w:tc>
        <w:tc>
          <w:tcPr>
            <w:tcW w:w="0" w:type="auto"/>
            <w:hideMark/>
          </w:tcPr>
          <w:p w14:paraId="1795D39E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Manager</w:t>
            </w:r>
          </w:p>
        </w:tc>
        <w:tc>
          <w:tcPr>
            <w:tcW w:w="0" w:type="auto"/>
            <w:hideMark/>
          </w:tcPr>
          <w:p w14:paraId="69E4194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Activities</w:t>
            </w:r>
          </w:p>
        </w:tc>
        <w:tc>
          <w:tcPr>
            <w:tcW w:w="0" w:type="auto"/>
            <w:hideMark/>
          </w:tcPr>
          <w:p w14:paraId="6EA9D00A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Schedule Dashboard</w:t>
            </w:r>
          </w:p>
        </w:tc>
      </w:tr>
      <w:tr w:rsidR="00547A92" w:rsidRPr="00547A92" w14:paraId="600C1B5F" w14:textId="77777777" w:rsidTr="006557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11218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406FEA0D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Permit failure</w:t>
            </w:r>
          </w:p>
        </w:tc>
        <w:tc>
          <w:tcPr>
            <w:tcW w:w="0" w:type="auto"/>
            <w:hideMark/>
          </w:tcPr>
          <w:p w14:paraId="2072CB91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tracker</w:t>
            </w:r>
          </w:p>
        </w:tc>
        <w:tc>
          <w:tcPr>
            <w:tcW w:w="0" w:type="auto"/>
            <w:hideMark/>
          </w:tcPr>
          <w:p w14:paraId="6EF84128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44E8804F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268F3C61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Permit Log</w:t>
            </w:r>
          </w:p>
        </w:tc>
      </w:tr>
      <w:tr w:rsidR="00547A92" w:rsidRPr="00547A92" w14:paraId="21A8DF8D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2E5F3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</w:t>
            </w:r>
          </w:p>
        </w:tc>
        <w:tc>
          <w:tcPr>
            <w:tcW w:w="0" w:type="auto"/>
            <w:hideMark/>
          </w:tcPr>
          <w:p w14:paraId="77BC7E54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Bid manipulation</w:t>
            </w:r>
          </w:p>
        </w:tc>
        <w:tc>
          <w:tcPr>
            <w:tcW w:w="0" w:type="auto"/>
            <w:hideMark/>
          </w:tcPr>
          <w:p w14:paraId="154761AB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Independent evaluation committee</w:t>
            </w:r>
          </w:p>
        </w:tc>
        <w:tc>
          <w:tcPr>
            <w:tcW w:w="0" w:type="auto"/>
            <w:hideMark/>
          </w:tcPr>
          <w:p w14:paraId="6E7A880D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DC25DFF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Activities</w:t>
            </w:r>
          </w:p>
        </w:tc>
        <w:tc>
          <w:tcPr>
            <w:tcW w:w="0" w:type="auto"/>
            <w:hideMark/>
          </w:tcPr>
          <w:p w14:paraId="549CE277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Evaluation Matrix</w:t>
            </w:r>
          </w:p>
        </w:tc>
      </w:tr>
    </w:tbl>
    <w:p w14:paraId="6694E269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3C7B3F8">
          <v:rect id="_x0000_i1032" style="width:0;height:1.5pt" o:hralign="center" o:hrstd="t" o:hr="t" fillcolor="#a0a0a0" stroked="f"/>
        </w:pict>
      </w:r>
    </w:p>
    <w:p w14:paraId="78BECD3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05.8 KPI Dashboard Structure</w:t>
      </w:r>
    </w:p>
    <w:p w14:paraId="4AD335C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Budget Utilization %</w:t>
      </w:r>
    </w:p>
    <w:p w14:paraId="23C3171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Variance (CV)</w:t>
      </w:r>
    </w:p>
    <w:p w14:paraId="0E59BA9B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 Variance (SV)</w:t>
      </w:r>
    </w:p>
    <w:p w14:paraId="2358795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 vs Approved IRR</w:t>
      </w:r>
    </w:p>
    <w:p w14:paraId="1433DED1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Projects Delivered On-Time</w:t>
      </w:r>
    </w:p>
    <w:p w14:paraId="24F7B41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% Change Orders to Total Budget</w:t>
      </w:r>
    </w:p>
    <w:p w14:paraId="4DC4D116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 Score</w:t>
      </w:r>
    </w:p>
    <w:p w14:paraId="12962711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4FE3F8">
          <v:rect id="_x0000_i1033" style="width:0;height:1.5pt" o:hralign="center" o:hrstd="t" o:hr="t" fillcolor="#a0a0a0" stroked="f"/>
        </w:pict>
      </w:r>
    </w:p>
    <w:p w14:paraId="25656422" w14:textId="5AAA9A09" w:rsidR="00547A92" w:rsidRPr="00322D9D" w:rsidRDefault="0065570C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to do with details procedures </w:t>
      </w:r>
      <w:r w:rsidR="00A64BCF"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(Hassan)</w:t>
      </w:r>
    </w:p>
    <w:p w14:paraId="3DBF4597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Convert this into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BPMN process diagrams visually structured</w:t>
      </w:r>
    </w:p>
    <w:p w14:paraId="6DDD9881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Develop a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full CapEx Manual document (consulting-grade PDF structure)</w:t>
      </w:r>
    </w:p>
    <w:p w14:paraId="69308738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Excel-based Financial Model template structure</w:t>
      </w:r>
    </w:p>
    <w:p w14:paraId="05C06104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 with your 02_Investment and 04_Facility_Management modules for full lifecycle alignment**</w:t>
      </w:r>
    </w:p>
    <w:p w14:paraId="4056789F" w14:textId="77777777" w:rsidR="00547A92" w:rsidRPr="00547A92" w:rsidRDefault="00547A92" w:rsidP="00547A92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547A92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05E3F02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4AA401FF" w14:textId="77777777" w:rsidR="00547A92" w:rsidRPr="00547A92" w:rsidRDefault="00547A92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547A92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087C85FC" w14:textId="77777777" w:rsidR="009650D2" w:rsidRDefault="009650D2"/>
    <w:sectPr w:rsidR="009650D2" w:rsidSect="00547A92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7321A" w14:textId="77777777" w:rsidR="009E2CAF" w:rsidRDefault="009E2CAF" w:rsidP="005F4071">
      <w:pPr>
        <w:spacing w:after="0" w:line="240" w:lineRule="auto"/>
      </w:pPr>
      <w:r>
        <w:separator/>
      </w:r>
    </w:p>
  </w:endnote>
  <w:endnote w:type="continuationSeparator" w:id="0">
    <w:p w14:paraId="41915081" w14:textId="77777777" w:rsidR="009E2CAF" w:rsidRDefault="009E2CAF" w:rsidP="005F4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557549549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14338101" w14:textId="1D57EFBD" w:rsidR="00766DA1" w:rsidRDefault="00766DA1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00717816" w14:textId="77777777" w:rsidR="005F4071" w:rsidRDefault="005F40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23BEA" w14:textId="77777777" w:rsidR="009E2CAF" w:rsidRDefault="009E2CAF" w:rsidP="005F4071">
      <w:pPr>
        <w:spacing w:after="0" w:line="240" w:lineRule="auto"/>
      </w:pPr>
      <w:r>
        <w:separator/>
      </w:r>
    </w:p>
  </w:footnote>
  <w:footnote w:type="continuationSeparator" w:id="0">
    <w:p w14:paraId="5E0164E6" w14:textId="77777777" w:rsidR="009E2CAF" w:rsidRDefault="009E2CAF" w:rsidP="005F40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C41E7" w14:textId="33C9D123" w:rsidR="005F4071" w:rsidRDefault="005F4071">
    <w:pPr>
      <w:pStyle w:val="Header"/>
    </w:pPr>
    <w:r w:rsidRPr="005F4071">
      <w:t>RAM ENTERPRISE P&amp;P WBS STRUCTURE – 05_CapEx_Projects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3158"/>
    <w:multiLevelType w:val="multilevel"/>
    <w:tmpl w:val="8364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154CF"/>
    <w:multiLevelType w:val="multilevel"/>
    <w:tmpl w:val="962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06C4A"/>
    <w:multiLevelType w:val="multilevel"/>
    <w:tmpl w:val="5DA4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F0D56"/>
    <w:multiLevelType w:val="multilevel"/>
    <w:tmpl w:val="7F64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82D6D"/>
    <w:multiLevelType w:val="multilevel"/>
    <w:tmpl w:val="AF4C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16BBD"/>
    <w:multiLevelType w:val="multilevel"/>
    <w:tmpl w:val="174A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93FC4"/>
    <w:multiLevelType w:val="multilevel"/>
    <w:tmpl w:val="1C3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90FDE"/>
    <w:multiLevelType w:val="multilevel"/>
    <w:tmpl w:val="DBE6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D19EE"/>
    <w:multiLevelType w:val="multilevel"/>
    <w:tmpl w:val="FA18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95895"/>
    <w:multiLevelType w:val="multilevel"/>
    <w:tmpl w:val="394C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A21913"/>
    <w:multiLevelType w:val="multilevel"/>
    <w:tmpl w:val="4CC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B65409"/>
    <w:multiLevelType w:val="multilevel"/>
    <w:tmpl w:val="2346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41341B"/>
    <w:multiLevelType w:val="multilevel"/>
    <w:tmpl w:val="4816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C6634"/>
    <w:multiLevelType w:val="multilevel"/>
    <w:tmpl w:val="35F0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A2118"/>
    <w:multiLevelType w:val="multilevel"/>
    <w:tmpl w:val="A1CC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49385F"/>
    <w:multiLevelType w:val="multilevel"/>
    <w:tmpl w:val="B4D4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21588"/>
    <w:multiLevelType w:val="multilevel"/>
    <w:tmpl w:val="7E6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03955"/>
    <w:multiLevelType w:val="multilevel"/>
    <w:tmpl w:val="61AA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D97435"/>
    <w:multiLevelType w:val="multilevel"/>
    <w:tmpl w:val="E64C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A09CB"/>
    <w:multiLevelType w:val="multilevel"/>
    <w:tmpl w:val="B356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30540"/>
    <w:multiLevelType w:val="multilevel"/>
    <w:tmpl w:val="105A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87119"/>
    <w:multiLevelType w:val="multilevel"/>
    <w:tmpl w:val="5DA8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982FFD"/>
    <w:multiLevelType w:val="multilevel"/>
    <w:tmpl w:val="9270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81B84"/>
    <w:multiLevelType w:val="multilevel"/>
    <w:tmpl w:val="9D7A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30AB9"/>
    <w:multiLevelType w:val="multilevel"/>
    <w:tmpl w:val="39C6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92829"/>
    <w:multiLevelType w:val="multilevel"/>
    <w:tmpl w:val="E6CE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22131A"/>
    <w:multiLevelType w:val="multilevel"/>
    <w:tmpl w:val="144E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8156A2"/>
    <w:multiLevelType w:val="multilevel"/>
    <w:tmpl w:val="B31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999089">
    <w:abstractNumId w:val="27"/>
  </w:num>
  <w:num w:numId="2" w16cid:durableId="99301183">
    <w:abstractNumId w:val="0"/>
  </w:num>
  <w:num w:numId="3" w16cid:durableId="646787347">
    <w:abstractNumId w:val="7"/>
  </w:num>
  <w:num w:numId="4" w16cid:durableId="2103598438">
    <w:abstractNumId w:val="15"/>
  </w:num>
  <w:num w:numId="5" w16cid:durableId="140195321">
    <w:abstractNumId w:val="22"/>
  </w:num>
  <w:num w:numId="6" w16cid:durableId="5058010">
    <w:abstractNumId w:val="19"/>
  </w:num>
  <w:num w:numId="7" w16cid:durableId="1521971757">
    <w:abstractNumId w:val="9"/>
  </w:num>
  <w:num w:numId="8" w16cid:durableId="1488857329">
    <w:abstractNumId w:val="23"/>
  </w:num>
  <w:num w:numId="9" w16cid:durableId="397554301">
    <w:abstractNumId w:val="20"/>
  </w:num>
  <w:num w:numId="10" w16cid:durableId="1044132843">
    <w:abstractNumId w:val="1"/>
  </w:num>
  <w:num w:numId="11" w16cid:durableId="1883712757">
    <w:abstractNumId w:val="24"/>
  </w:num>
  <w:num w:numId="12" w16cid:durableId="264310353">
    <w:abstractNumId w:val="25"/>
  </w:num>
  <w:num w:numId="13" w16cid:durableId="1176381761">
    <w:abstractNumId w:val="16"/>
  </w:num>
  <w:num w:numId="14" w16cid:durableId="1726371628">
    <w:abstractNumId w:val="13"/>
  </w:num>
  <w:num w:numId="15" w16cid:durableId="1638686727">
    <w:abstractNumId w:val="21"/>
  </w:num>
  <w:num w:numId="16" w16cid:durableId="507867188">
    <w:abstractNumId w:val="6"/>
  </w:num>
  <w:num w:numId="17" w16cid:durableId="1495603900">
    <w:abstractNumId w:val="12"/>
  </w:num>
  <w:num w:numId="18" w16cid:durableId="1870024649">
    <w:abstractNumId w:val="17"/>
  </w:num>
  <w:num w:numId="19" w16cid:durableId="1810367455">
    <w:abstractNumId w:val="2"/>
  </w:num>
  <w:num w:numId="20" w16cid:durableId="1871993503">
    <w:abstractNumId w:val="5"/>
  </w:num>
  <w:num w:numId="21" w16cid:durableId="130101896">
    <w:abstractNumId w:val="11"/>
  </w:num>
  <w:num w:numId="22" w16cid:durableId="806780611">
    <w:abstractNumId w:val="10"/>
  </w:num>
  <w:num w:numId="23" w16cid:durableId="1567180938">
    <w:abstractNumId w:val="18"/>
  </w:num>
  <w:num w:numId="24" w16cid:durableId="2018654789">
    <w:abstractNumId w:val="3"/>
  </w:num>
  <w:num w:numId="25" w16cid:durableId="1896114829">
    <w:abstractNumId w:val="4"/>
  </w:num>
  <w:num w:numId="26" w16cid:durableId="217517610">
    <w:abstractNumId w:val="26"/>
  </w:num>
  <w:num w:numId="27" w16cid:durableId="499005502">
    <w:abstractNumId w:val="8"/>
  </w:num>
  <w:num w:numId="28" w16cid:durableId="8530391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A92"/>
    <w:rsid w:val="00006503"/>
    <w:rsid w:val="000255D3"/>
    <w:rsid w:val="000B6FB0"/>
    <w:rsid w:val="000C19D7"/>
    <w:rsid w:val="001A217F"/>
    <w:rsid w:val="002D2B53"/>
    <w:rsid w:val="00322D9D"/>
    <w:rsid w:val="00347F2C"/>
    <w:rsid w:val="003575C5"/>
    <w:rsid w:val="00361BC5"/>
    <w:rsid w:val="003926D6"/>
    <w:rsid w:val="003E072D"/>
    <w:rsid w:val="003F2EBC"/>
    <w:rsid w:val="00412B85"/>
    <w:rsid w:val="004B6DC6"/>
    <w:rsid w:val="00547A92"/>
    <w:rsid w:val="00571686"/>
    <w:rsid w:val="0058252A"/>
    <w:rsid w:val="00596FCE"/>
    <w:rsid w:val="005A7D89"/>
    <w:rsid w:val="005C35C3"/>
    <w:rsid w:val="005F4071"/>
    <w:rsid w:val="0065570C"/>
    <w:rsid w:val="006755E9"/>
    <w:rsid w:val="00766DA1"/>
    <w:rsid w:val="009650D2"/>
    <w:rsid w:val="009913AD"/>
    <w:rsid w:val="009E2CAF"/>
    <w:rsid w:val="00A64BCF"/>
    <w:rsid w:val="00AB6B21"/>
    <w:rsid w:val="00B70AAC"/>
    <w:rsid w:val="00C80371"/>
    <w:rsid w:val="00CC6EB7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E24BF"/>
  <w15:chartTrackingRefBased/>
  <w15:docId w15:val="{E5BEE993-92C1-43D6-88F5-E7983AE6E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A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A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A9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A9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A9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A9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A9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A9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A9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A9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A9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54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A9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A9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54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A9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54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A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A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A9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547A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40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071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5F40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071"/>
    <w:rPr>
      <w:lang w:val="en-US" w:bidi="ar-EG"/>
    </w:rPr>
  </w:style>
  <w:style w:type="table" w:styleId="PlainTable1">
    <w:name w:val="Plain Table 1"/>
    <w:basedOn w:val="TableNormal"/>
    <w:uiPriority w:val="41"/>
    <w:rsid w:val="006557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721</Words>
  <Characters>4115</Characters>
  <Application>Microsoft Office Word</Application>
  <DocSecurity>0</DocSecurity>
  <Lines>34</Lines>
  <Paragraphs>9</Paragraphs>
  <ScaleCrop>false</ScaleCrop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dcterms:created xsi:type="dcterms:W3CDTF">2026-03-10T02:06:00Z</dcterms:created>
  <dcterms:modified xsi:type="dcterms:W3CDTF">2026-03-10T23:12:00Z</dcterms:modified>
</cp:coreProperties>
</file>