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69BD4" w14:textId="77777777" w:rsidR="001A02C3" w:rsidRPr="001A02C3" w:rsidRDefault="001A02C3" w:rsidP="001A02C3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 –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06_Performance</w:t>
      </w:r>
    </w:p>
    <w:p w14:paraId="65409E05" w14:textId="32960706" w:rsidR="001A02C3" w:rsidRDefault="001A02C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379F7844" w14:textId="66B5BDD6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06_Performance</w:t>
      </w:r>
    </w:p>
    <w:p w14:paraId="7BD58C49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section governs how RAM measures, monitors, evaluates, and improves asset, financial, operational, and strategic performance across the portfolio.</w:t>
      </w:r>
    </w:p>
    <w:p w14:paraId="4A73C694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Below is the </w:t>
      </w:r>
      <w:r w:rsidRPr="001A02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WBS-coded policy tree</w:t>
      </w: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fully structured and aligned conceptually with:</w:t>
      </w:r>
    </w:p>
    <w:p w14:paraId="5695F18F" w14:textId="77777777" w:rsidR="001A02C3" w:rsidRPr="001A02C3" w:rsidRDefault="001A02C3" w:rsidP="001A02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55001 (Asset Management)</w:t>
      </w:r>
    </w:p>
    <w:p w14:paraId="5160D3F7" w14:textId="77777777" w:rsidR="001A02C3" w:rsidRPr="001A02C3" w:rsidRDefault="001A02C3" w:rsidP="001A02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Performance &amp; Monitoring</w:t>
      </w:r>
    </w:p>
    <w:p w14:paraId="0AB07C7B" w14:textId="77777777" w:rsidR="001A02C3" w:rsidRPr="001A02C3" w:rsidRDefault="001A02C3" w:rsidP="001A02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OECD-DAC logic (for impact-linked assets if applicable)</w:t>
      </w:r>
    </w:p>
    <w:p w14:paraId="2FA434AE" w14:textId="77777777" w:rsidR="001A02C3" w:rsidRPr="001A02C3" w:rsidRDefault="001A02C3" w:rsidP="001A02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Real estate / asset management global best practice</w:t>
      </w:r>
    </w:p>
    <w:p w14:paraId="4985C151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0D7BE4">
          <v:rect id="_x0000_i1025" style="width:0;height:1.5pt" o:hralign="center" o:hrstd="t" o:hr="t" fillcolor="#a0a0a0" stroked="f"/>
        </w:pict>
      </w:r>
    </w:p>
    <w:p w14:paraId="2B560C8E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06_PERFORMANCE</w:t>
      </w:r>
    </w:p>
    <w:p w14:paraId="1F2C6C0B" w14:textId="77777777" w:rsidR="001A02C3" w:rsidRPr="001A02C3" w:rsidRDefault="001A02C3" w:rsidP="001A02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06_Performance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06.1 Performance Governance Framework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06.2 Portfolio Performance Management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06.3 Asset-Level Performance Monitoring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06.4 Financial Performance &amp; Yield Monitoring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06.5 Operational Performance (Leasing &amp; FM)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06.6 CapEx &amp; Project Performance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06.7 ESG &amp; Sustainability Performance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06.8 Risk-Adjusted Performance Monitoring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06.9 Performance Reporting &amp; Dashboards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06.10 Performance Review &amp; Improvement Cycle</w:t>
      </w:r>
      <w:r w:rsidRPr="001A02C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06.11 Performance Data Governance &amp; Controls</w:t>
      </w:r>
    </w:p>
    <w:p w14:paraId="0639AE47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956D384">
          <v:rect id="_x0000_i1026" style="width:0;height:1.5pt" o:hralign="center" o:hrstd="t" o:hr="t" fillcolor="#a0a0a0" stroked="f"/>
        </w:pict>
      </w:r>
    </w:p>
    <w:p w14:paraId="6DDF89D2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06.1 Performance Governance Framework</w:t>
      </w:r>
    </w:p>
    <w:p w14:paraId="33B727B0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06.1.1 Performance Policy</w:t>
      </w:r>
    </w:p>
    <w:p w14:paraId="147A6215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Define overall philosophy, KPIs hierarchy, and accountability.</w:t>
      </w:r>
    </w:p>
    <w:p w14:paraId="36117C9F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06.1.1.1 Objectives</w:t>
      </w:r>
    </w:p>
    <w:p w14:paraId="57E6B40E" w14:textId="77777777" w:rsidR="001A02C3" w:rsidRPr="001A02C3" w:rsidRDefault="001A02C3" w:rsidP="001A02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 performance with investment strategy</w:t>
      </w:r>
    </w:p>
    <w:p w14:paraId="48966430" w14:textId="77777777" w:rsidR="001A02C3" w:rsidRPr="001A02C3" w:rsidRDefault="001A02C3" w:rsidP="001A02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Balance return, risk, and asset quality</w:t>
      </w:r>
    </w:p>
    <w:p w14:paraId="4C8E5CE1" w14:textId="77777777" w:rsidR="001A02C3" w:rsidRPr="001A02C3" w:rsidRDefault="001A02C3" w:rsidP="001A02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Protect capital and optimize yield</w:t>
      </w:r>
    </w:p>
    <w:p w14:paraId="0C8DFC9B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06.1.1.2 KPI Hierarchy Structure</w:t>
      </w:r>
    </w:p>
    <w:p w14:paraId="3E208A1E" w14:textId="77777777" w:rsidR="001A02C3" w:rsidRPr="001A02C3" w:rsidRDefault="001A02C3" w:rsidP="001A02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Portfolio KPIs</w:t>
      </w:r>
    </w:p>
    <w:p w14:paraId="015F8981" w14:textId="77777777" w:rsidR="001A02C3" w:rsidRPr="001A02C3" w:rsidRDefault="001A02C3" w:rsidP="001A02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KPIs</w:t>
      </w:r>
    </w:p>
    <w:p w14:paraId="492ABCDB" w14:textId="77777777" w:rsidR="001A02C3" w:rsidRPr="001A02C3" w:rsidRDefault="001A02C3" w:rsidP="001A02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KPIs</w:t>
      </w:r>
    </w:p>
    <w:p w14:paraId="079BF0BC" w14:textId="77777777" w:rsidR="001A02C3" w:rsidRPr="001A02C3" w:rsidRDefault="001A02C3" w:rsidP="001A02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Individual KPIs</w:t>
      </w:r>
    </w:p>
    <w:p w14:paraId="046F0CB4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06.1.1.3 Roles &amp; Accountability</w:t>
      </w:r>
    </w:p>
    <w:p w14:paraId="334715E8" w14:textId="77777777" w:rsidR="001A02C3" w:rsidRPr="001A02C3" w:rsidRDefault="001A02C3" w:rsidP="001A02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Board → Oversight</w:t>
      </w:r>
    </w:p>
    <w:p w14:paraId="492027D1" w14:textId="77777777" w:rsidR="001A02C3" w:rsidRPr="001A02C3" w:rsidRDefault="001A02C3" w:rsidP="001A02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Committee → Strategic performance</w:t>
      </w:r>
    </w:p>
    <w:p w14:paraId="71A46227" w14:textId="77777777" w:rsidR="001A02C3" w:rsidRPr="001A02C3" w:rsidRDefault="001A02C3" w:rsidP="001A02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Management → Portfolio KPIs</w:t>
      </w:r>
    </w:p>
    <w:p w14:paraId="4A565B38" w14:textId="77777777" w:rsidR="001A02C3" w:rsidRPr="001A02C3" w:rsidRDefault="001A02C3" w:rsidP="001A02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 → Operational KPIs</w:t>
      </w:r>
    </w:p>
    <w:p w14:paraId="6DF6404B" w14:textId="77777777" w:rsidR="001A02C3" w:rsidRPr="001A02C3" w:rsidRDefault="001A02C3" w:rsidP="001A02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→ Financial KPIs</w:t>
      </w:r>
    </w:p>
    <w:p w14:paraId="1B0D6BFE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FD21D4">
          <v:rect id="_x0000_i1027" style="width:0;height:1.5pt" o:hralign="center" o:hrstd="t" o:hr="t" fillcolor="#a0a0a0" stroked="f"/>
        </w:pict>
      </w:r>
    </w:p>
    <w:p w14:paraId="6CF4B4BB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06.2 Portfolio Performance Management</w:t>
      </w:r>
    </w:p>
    <w:p w14:paraId="02C65263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06.2.1 Portfolio KPI Framework</w:t>
      </w:r>
    </w:p>
    <w:p w14:paraId="0D535B89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06.2.1.1 Core Portfolio KPIs</w:t>
      </w:r>
    </w:p>
    <w:p w14:paraId="51EB59C2" w14:textId="77777777" w:rsidR="001A02C3" w:rsidRPr="001A02C3" w:rsidRDefault="001A02C3" w:rsidP="001A02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IRR</w:t>
      </w:r>
    </w:p>
    <w:p w14:paraId="4CDF40C8" w14:textId="77777777" w:rsidR="001A02C3" w:rsidRPr="001A02C3" w:rsidRDefault="001A02C3" w:rsidP="001A02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Net Yield</w:t>
      </w:r>
    </w:p>
    <w:p w14:paraId="2BC516FE" w14:textId="77777777" w:rsidR="001A02C3" w:rsidRPr="001A02C3" w:rsidRDefault="001A02C3" w:rsidP="001A02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Portfolio NOI</w:t>
      </w:r>
    </w:p>
    <w:p w14:paraId="430FDC0D" w14:textId="77777777" w:rsidR="001A02C3" w:rsidRPr="001A02C3" w:rsidRDefault="001A02C3" w:rsidP="001A02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Occupancy Rate</w:t>
      </w:r>
    </w:p>
    <w:p w14:paraId="5279A707" w14:textId="77777777" w:rsidR="001A02C3" w:rsidRPr="001A02C3" w:rsidRDefault="001A02C3" w:rsidP="001A02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WAULT</w:t>
      </w:r>
    </w:p>
    <w:p w14:paraId="20099C40" w14:textId="77777777" w:rsidR="001A02C3" w:rsidRPr="001A02C3" w:rsidRDefault="001A02C3" w:rsidP="001A02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 Growth</w:t>
      </w:r>
    </w:p>
    <w:p w14:paraId="2BBBFB86" w14:textId="77777777" w:rsidR="001A02C3" w:rsidRPr="001A02C3" w:rsidRDefault="001A02C3" w:rsidP="001A02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Concentration Index</w:t>
      </w:r>
    </w:p>
    <w:p w14:paraId="65AD06F7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06.2.1.2 Diversification Metrics</w:t>
      </w:r>
    </w:p>
    <w:p w14:paraId="39F10FEB" w14:textId="77777777" w:rsidR="001A02C3" w:rsidRPr="001A02C3" w:rsidRDefault="001A02C3" w:rsidP="001A02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Geographic exposure %</w:t>
      </w:r>
    </w:p>
    <w:p w14:paraId="6FFC6A35" w14:textId="77777777" w:rsidR="001A02C3" w:rsidRPr="001A02C3" w:rsidRDefault="001A02C3" w:rsidP="001A02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Sector exposure %</w:t>
      </w:r>
    </w:p>
    <w:p w14:paraId="41836A2A" w14:textId="77777777" w:rsidR="001A02C3" w:rsidRPr="001A02C3" w:rsidRDefault="001A02C3" w:rsidP="001A02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concentration %</w:t>
      </w:r>
    </w:p>
    <w:p w14:paraId="698CB149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06.2.1.3 Benchmarking</w:t>
      </w:r>
    </w:p>
    <w:p w14:paraId="557A2A2A" w14:textId="77777777" w:rsidR="001A02C3" w:rsidRPr="001A02C3" w:rsidRDefault="001A02C3" w:rsidP="001A02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benchmark comparison</w:t>
      </w:r>
    </w:p>
    <w:p w14:paraId="4AB075A2" w14:textId="77777777" w:rsidR="001A02C3" w:rsidRPr="001A02C3" w:rsidRDefault="001A02C3" w:rsidP="001A02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Peer fund comparison</w:t>
      </w:r>
    </w:p>
    <w:p w14:paraId="6E9DA2AA" w14:textId="77777777" w:rsidR="001A02C3" w:rsidRPr="001A02C3" w:rsidRDefault="001A02C3" w:rsidP="001A02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Historical trend analysis</w:t>
      </w:r>
    </w:p>
    <w:p w14:paraId="3076334B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Forms:</w:t>
      </w:r>
    </w:p>
    <w:p w14:paraId="419A8E80" w14:textId="77777777" w:rsidR="001A02C3" w:rsidRPr="001A02C3" w:rsidRDefault="001A02C3" w:rsidP="001A02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F-06.2-01 Portfolio Performance Dashboard</w:t>
      </w:r>
    </w:p>
    <w:p w14:paraId="61599E90" w14:textId="77777777" w:rsidR="001A02C3" w:rsidRPr="001A02C3" w:rsidRDefault="001A02C3" w:rsidP="001A02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F-06.2-02 Quarterly Portfolio Review Template</w:t>
      </w:r>
    </w:p>
    <w:p w14:paraId="4624E0E4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407A8AB">
          <v:rect id="_x0000_i1028" style="width:0;height:1.5pt" o:hralign="center" o:hrstd="t" o:hr="t" fillcolor="#a0a0a0" stroked="f"/>
        </w:pict>
      </w:r>
    </w:p>
    <w:p w14:paraId="0FD457DC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06.3 Asset-Level Performance Monitoring</w:t>
      </w:r>
    </w:p>
    <w:p w14:paraId="603B3BE8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06.3.1 Asset KPI Matrix</w:t>
      </w:r>
    </w:p>
    <w:p w14:paraId="5B761AD5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06.3.1.1 Revenue Metrics</w:t>
      </w:r>
    </w:p>
    <w:p w14:paraId="5CF03844" w14:textId="77777777" w:rsidR="001A02C3" w:rsidRPr="001A02C3" w:rsidRDefault="001A02C3" w:rsidP="001A02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Gross Rental Income</w:t>
      </w:r>
    </w:p>
    <w:p w14:paraId="06AB6F35" w14:textId="77777777" w:rsidR="001A02C3" w:rsidRPr="001A02C3" w:rsidRDefault="001A02C3" w:rsidP="001A02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Charge Recovery</w:t>
      </w:r>
    </w:p>
    <w:p w14:paraId="79D60A4F" w14:textId="77777777" w:rsidR="001A02C3" w:rsidRPr="001A02C3" w:rsidRDefault="001A02C3" w:rsidP="001A02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Rent Collection %</w:t>
      </w:r>
    </w:p>
    <w:p w14:paraId="23567289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06.3.1.2 Occupancy Metrics</w:t>
      </w:r>
    </w:p>
    <w:p w14:paraId="4674B2BB" w14:textId="77777777" w:rsidR="001A02C3" w:rsidRPr="001A02C3" w:rsidRDefault="001A02C3" w:rsidP="001A02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Physical Occupancy</w:t>
      </w:r>
    </w:p>
    <w:p w14:paraId="05F99C49" w14:textId="77777777" w:rsidR="001A02C3" w:rsidRPr="001A02C3" w:rsidRDefault="001A02C3" w:rsidP="001A02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Economic Occupancy</w:t>
      </w:r>
    </w:p>
    <w:p w14:paraId="53ED42A8" w14:textId="77777777" w:rsidR="001A02C3" w:rsidRPr="001A02C3" w:rsidRDefault="001A02C3" w:rsidP="001A02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Lease Expiry Risk</w:t>
      </w:r>
    </w:p>
    <w:p w14:paraId="50231254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06.3.1.3 Asset Efficiency Metrics</w:t>
      </w:r>
    </w:p>
    <w:p w14:paraId="6C82FE8C" w14:textId="77777777" w:rsidR="001A02C3" w:rsidRPr="001A02C3" w:rsidRDefault="001A02C3" w:rsidP="001A02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Operating Expense Ratio</w:t>
      </w:r>
    </w:p>
    <w:p w14:paraId="786C3F7C" w14:textId="77777777" w:rsidR="001A02C3" w:rsidRPr="001A02C3" w:rsidRDefault="001A02C3" w:rsidP="001A02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per sqm</w:t>
      </w:r>
    </w:p>
    <w:p w14:paraId="6BCC7759" w14:textId="77777777" w:rsidR="001A02C3" w:rsidRPr="001A02C3" w:rsidRDefault="001A02C3" w:rsidP="001A02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Energy intensity</w:t>
      </w:r>
    </w:p>
    <w:p w14:paraId="1E0B828D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06.3.1.4 Asset Rating System (1–5)</w:t>
      </w:r>
    </w:p>
    <w:p w14:paraId="3A9C2062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(Aligned with your MSME structured scoring preference)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2614"/>
      </w:tblGrid>
      <w:tr w:rsidR="001A02C3" w:rsidRPr="001A02C3" w14:paraId="72984C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31C2E" w14:textId="77777777" w:rsidR="001A02C3" w:rsidRPr="001A02C3" w:rsidRDefault="001A02C3" w:rsidP="001A0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0ACDC9D" w14:textId="77777777" w:rsidR="001A02C3" w:rsidRPr="001A02C3" w:rsidRDefault="001A02C3" w:rsidP="001A0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Meaning</w:t>
            </w:r>
          </w:p>
        </w:tc>
      </w:tr>
      <w:tr w:rsidR="001A02C3" w:rsidRPr="001A02C3" w14:paraId="6F24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CDEEB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90B2B6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Critical underperformance</w:t>
            </w:r>
          </w:p>
        </w:tc>
      </w:tr>
      <w:tr w:rsidR="001A02C3" w:rsidRPr="001A02C3" w14:paraId="0D4101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072D4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C23391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Below threshold</w:t>
            </w:r>
          </w:p>
        </w:tc>
      </w:tr>
      <w:tr w:rsidR="001A02C3" w:rsidRPr="001A02C3" w14:paraId="5E997F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6D560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F947D58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Acceptable</w:t>
            </w:r>
          </w:p>
        </w:tc>
      </w:tr>
      <w:tr w:rsidR="001A02C3" w:rsidRPr="001A02C3" w14:paraId="7F124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ACBCB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58F094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Strong</w:t>
            </w:r>
          </w:p>
        </w:tc>
      </w:tr>
      <w:tr w:rsidR="001A02C3" w:rsidRPr="001A02C3" w14:paraId="0DDE8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573D6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289DC8A" w14:textId="77777777" w:rsidR="001A02C3" w:rsidRPr="001A02C3" w:rsidRDefault="001A02C3" w:rsidP="001A02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A02C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Top performer</w:t>
            </w:r>
          </w:p>
        </w:tc>
      </w:tr>
    </w:tbl>
    <w:p w14:paraId="2CFF4781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Forms:</w:t>
      </w:r>
    </w:p>
    <w:p w14:paraId="5866FBF3" w14:textId="77777777" w:rsidR="001A02C3" w:rsidRPr="001A02C3" w:rsidRDefault="001A02C3" w:rsidP="001A02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F-06.3-01 Asset Performance Scorecard</w:t>
      </w:r>
    </w:p>
    <w:p w14:paraId="01DC7C30" w14:textId="77777777" w:rsidR="001A02C3" w:rsidRPr="001A02C3" w:rsidRDefault="001A02C3" w:rsidP="001A02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F-06.3-02 Asset Quarterly Review Form</w:t>
      </w:r>
    </w:p>
    <w:p w14:paraId="0294E7ED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4DE7C1D">
          <v:rect id="_x0000_i1029" style="width:0;height:1.5pt" o:hralign="center" o:hrstd="t" o:hr="t" fillcolor="#a0a0a0" stroked="f"/>
        </w:pict>
      </w:r>
    </w:p>
    <w:p w14:paraId="25922234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06.4 Financial Performance &amp; Yield Monitoring</w:t>
      </w:r>
    </w:p>
    <w:p w14:paraId="7236EAB7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06.4.1 Financial Metrics</w:t>
      </w:r>
    </w:p>
    <w:p w14:paraId="3FD77221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06.4.1.1 Profitability</w:t>
      </w:r>
    </w:p>
    <w:p w14:paraId="47423B5F" w14:textId="77777777" w:rsidR="001A02C3" w:rsidRPr="001A02C3" w:rsidRDefault="001A02C3" w:rsidP="001A02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NOI Margin</w:t>
      </w:r>
    </w:p>
    <w:p w14:paraId="52EC8E1E" w14:textId="77777777" w:rsidR="001A02C3" w:rsidRPr="001A02C3" w:rsidRDefault="001A02C3" w:rsidP="001A02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EBITDA</w:t>
      </w:r>
    </w:p>
    <w:p w14:paraId="5814F03C" w14:textId="77777777" w:rsidR="001A02C3" w:rsidRPr="001A02C3" w:rsidRDefault="001A02C3" w:rsidP="001A02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Net Profit</w:t>
      </w:r>
    </w:p>
    <w:p w14:paraId="365117BF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06.4.1.2 Return Metrics</w:t>
      </w:r>
    </w:p>
    <w:p w14:paraId="6008CE14" w14:textId="77777777" w:rsidR="001A02C3" w:rsidRPr="001A02C3" w:rsidRDefault="001A02C3" w:rsidP="001A02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IRR</w:t>
      </w:r>
    </w:p>
    <w:p w14:paraId="4CD6D159" w14:textId="77777777" w:rsidR="001A02C3" w:rsidRPr="001A02C3" w:rsidRDefault="001A02C3" w:rsidP="001A02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Equity Multiple</w:t>
      </w:r>
    </w:p>
    <w:p w14:paraId="682A1560" w14:textId="77777777" w:rsidR="001A02C3" w:rsidRPr="001A02C3" w:rsidRDefault="001A02C3" w:rsidP="001A02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ROA</w:t>
      </w:r>
    </w:p>
    <w:p w14:paraId="3183001B" w14:textId="77777777" w:rsidR="001A02C3" w:rsidRPr="001A02C3" w:rsidRDefault="001A02C3" w:rsidP="001A02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ROE</w:t>
      </w:r>
    </w:p>
    <w:p w14:paraId="09A7EBCC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06.4.1.3 Liquidity Metrics</w:t>
      </w:r>
    </w:p>
    <w:p w14:paraId="0A0D9860" w14:textId="77777777" w:rsidR="001A02C3" w:rsidRPr="001A02C3" w:rsidRDefault="001A02C3" w:rsidP="001A02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DSCR</w:t>
      </w:r>
    </w:p>
    <w:p w14:paraId="469B553E" w14:textId="77777777" w:rsidR="001A02C3" w:rsidRPr="001A02C3" w:rsidRDefault="001A02C3" w:rsidP="001A02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LTV</w:t>
      </w:r>
    </w:p>
    <w:p w14:paraId="50221878" w14:textId="77777777" w:rsidR="001A02C3" w:rsidRPr="001A02C3" w:rsidRDefault="001A02C3" w:rsidP="001A02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Flow Stability Index</w:t>
      </w:r>
    </w:p>
    <w:p w14:paraId="4711917B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06.4.1.4 Variance Analysis Procedure</w:t>
      </w:r>
    </w:p>
    <w:p w14:paraId="0806E604" w14:textId="77777777" w:rsidR="001A02C3" w:rsidRPr="001A02C3" w:rsidRDefault="001A02C3" w:rsidP="001A02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vs Actual</w:t>
      </w:r>
    </w:p>
    <w:p w14:paraId="0BB2E220" w14:textId="77777777" w:rsidR="001A02C3" w:rsidRPr="001A02C3" w:rsidRDefault="001A02C3" w:rsidP="001A02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updates</w:t>
      </w:r>
    </w:p>
    <w:p w14:paraId="6899A1B7" w14:textId="77777777" w:rsidR="001A02C3" w:rsidRPr="001A02C3" w:rsidRDefault="001A02C3" w:rsidP="001A02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Sensitivity scenarios</w:t>
      </w:r>
    </w:p>
    <w:p w14:paraId="68DDDD3E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27D85B7" w14:textId="77777777" w:rsidR="001A02C3" w:rsidRPr="001A02C3" w:rsidRDefault="001A02C3" w:rsidP="001A02C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F-06.4-01 Financial Performance Report</w:t>
      </w:r>
    </w:p>
    <w:p w14:paraId="447F906D" w14:textId="77777777" w:rsidR="001A02C3" w:rsidRPr="001A02C3" w:rsidRDefault="001A02C3" w:rsidP="001A02C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F-06.4-02 Budget Variance Analysis Sheet</w:t>
      </w:r>
    </w:p>
    <w:p w14:paraId="6CD4825B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4C5620">
          <v:rect id="_x0000_i1030" style="width:0;height:1.5pt" o:hralign="center" o:hrstd="t" o:hr="t" fillcolor="#a0a0a0" stroked="f"/>
        </w:pict>
      </w:r>
    </w:p>
    <w:p w14:paraId="2F99D851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06.5 Operational Performance (Leasing &amp; FM)</w:t>
      </w:r>
    </w:p>
    <w:p w14:paraId="3C0C6D9F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06.5.1 Leasing KPIs</w:t>
      </w:r>
    </w:p>
    <w:p w14:paraId="43D65091" w14:textId="77777777" w:rsidR="001A02C3" w:rsidRPr="001A02C3" w:rsidRDefault="001A02C3" w:rsidP="001A02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Time-to-lease</w:t>
      </w:r>
    </w:p>
    <w:p w14:paraId="0FDDA26C" w14:textId="77777777" w:rsidR="001A02C3" w:rsidRPr="001A02C3" w:rsidRDefault="001A02C3" w:rsidP="001A02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spread</w:t>
      </w:r>
    </w:p>
    <w:p w14:paraId="44ACB13F" w14:textId="77777777" w:rsidR="001A02C3" w:rsidRPr="001A02C3" w:rsidRDefault="001A02C3" w:rsidP="001A02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rate</w:t>
      </w:r>
    </w:p>
    <w:p w14:paraId="30189794" w14:textId="77777777" w:rsidR="001A02C3" w:rsidRPr="001A02C3" w:rsidRDefault="001A02C3" w:rsidP="001A02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retention rate</w:t>
      </w:r>
    </w:p>
    <w:p w14:paraId="3A7BCC80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06.5.2 Facility Management KPIs</w:t>
      </w:r>
    </w:p>
    <w:p w14:paraId="3A612C22" w14:textId="77777777" w:rsidR="001A02C3" w:rsidRPr="001A02C3" w:rsidRDefault="001A02C3" w:rsidP="001A02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response time</w:t>
      </w:r>
    </w:p>
    <w:p w14:paraId="3CE6E1D4" w14:textId="77777777" w:rsidR="001A02C3" w:rsidRPr="001A02C3" w:rsidRDefault="001A02C3" w:rsidP="001A02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Preventive maintenance compliance %</w:t>
      </w:r>
    </w:p>
    <w:p w14:paraId="007254D1" w14:textId="77777777" w:rsidR="001A02C3" w:rsidRPr="001A02C3" w:rsidRDefault="001A02C3" w:rsidP="001A02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Downtime %</w:t>
      </w:r>
    </w:p>
    <w:p w14:paraId="3D2C7E63" w14:textId="77777777" w:rsidR="001A02C3" w:rsidRPr="001A02C3" w:rsidRDefault="001A02C3" w:rsidP="001A02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order closure rate</w:t>
      </w:r>
    </w:p>
    <w:p w14:paraId="6EF97919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Forms:</w:t>
      </w:r>
    </w:p>
    <w:p w14:paraId="73A7B747" w14:textId="77777777" w:rsidR="001A02C3" w:rsidRPr="001A02C3" w:rsidRDefault="001A02C3" w:rsidP="001A02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F-06.5-01 Leasing Performance Report</w:t>
      </w:r>
    </w:p>
    <w:p w14:paraId="042F2119" w14:textId="77777777" w:rsidR="001A02C3" w:rsidRPr="001A02C3" w:rsidRDefault="001A02C3" w:rsidP="001A02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F-06.5-02 FM Monthly KPI Report</w:t>
      </w:r>
    </w:p>
    <w:p w14:paraId="1F156AC4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990F18C">
          <v:rect id="_x0000_i1031" style="width:0;height:1.5pt" o:hralign="center" o:hrstd="t" o:hr="t" fillcolor="#a0a0a0" stroked="f"/>
        </w:pict>
      </w:r>
    </w:p>
    <w:p w14:paraId="13AD9AE7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06.6 CapEx &amp; Project Performance</w:t>
      </w:r>
    </w:p>
    <w:p w14:paraId="061C3E27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06.6.1 Project KPIs</w:t>
      </w:r>
    </w:p>
    <w:p w14:paraId="0489146C" w14:textId="77777777" w:rsidR="001A02C3" w:rsidRPr="001A02C3" w:rsidRDefault="001A02C3" w:rsidP="001A02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Schedule variance</w:t>
      </w:r>
    </w:p>
    <w:p w14:paraId="19E113D5" w14:textId="77777777" w:rsidR="001A02C3" w:rsidRPr="001A02C3" w:rsidRDefault="001A02C3" w:rsidP="001A02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variance</w:t>
      </w:r>
    </w:p>
    <w:p w14:paraId="6AC28660" w14:textId="77777777" w:rsidR="001A02C3" w:rsidRPr="001A02C3" w:rsidRDefault="001A02C3" w:rsidP="001A02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Quality compliance rate</w:t>
      </w:r>
    </w:p>
    <w:p w14:paraId="43AA1353" w14:textId="77777777" w:rsidR="001A02C3" w:rsidRPr="001A02C3" w:rsidRDefault="001A02C3" w:rsidP="001A02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Post-CapEx ROI</w:t>
      </w:r>
    </w:p>
    <w:p w14:paraId="6EB43A0E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06.6.2 Post-Investment Evaluation</w:t>
      </w:r>
    </w:p>
    <w:p w14:paraId="1324224D" w14:textId="77777777" w:rsidR="001A02C3" w:rsidRPr="001A02C3" w:rsidRDefault="001A02C3" w:rsidP="001A02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6-month review</w:t>
      </w:r>
    </w:p>
    <w:p w14:paraId="6C449725" w14:textId="77777777" w:rsidR="001A02C3" w:rsidRPr="001A02C3" w:rsidRDefault="001A02C3" w:rsidP="001A02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12-month impact analysis</w:t>
      </w:r>
    </w:p>
    <w:p w14:paraId="1E6768F8" w14:textId="77777777" w:rsidR="001A02C3" w:rsidRPr="001A02C3" w:rsidRDefault="001A02C3" w:rsidP="001A02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Value uplift measurement</w:t>
      </w:r>
    </w:p>
    <w:p w14:paraId="0032B5C2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47387C7" w14:textId="77777777" w:rsidR="001A02C3" w:rsidRPr="001A02C3" w:rsidRDefault="001A02C3" w:rsidP="001A02C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F-06.6-01 CapEx Performance Review</w:t>
      </w:r>
    </w:p>
    <w:p w14:paraId="4F2CAEE4" w14:textId="77777777" w:rsidR="001A02C3" w:rsidRPr="001A02C3" w:rsidRDefault="001A02C3" w:rsidP="001A02C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F-06.6-02 Post-Completion Evaluation Form</w:t>
      </w:r>
    </w:p>
    <w:p w14:paraId="003E41A4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8F85A9">
          <v:rect id="_x0000_i1032" style="width:0;height:1.5pt" o:hralign="center" o:hrstd="t" o:hr="t" fillcolor="#a0a0a0" stroked="f"/>
        </w:pict>
      </w:r>
    </w:p>
    <w:p w14:paraId="6F68D7C3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06.7 ESG &amp; Sustainability Performance</w:t>
      </w:r>
    </w:p>
    <w:p w14:paraId="242A53F9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06.7.1 ESG KPI Framework</w:t>
      </w:r>
    </w:p>
    <w:p w14:paraId="06E42A30" w14:textId="77777777" w:rsidR="001A02C3" w:rsidRPr="001A02C3" w:rsidRDefault="001A02C3" w:rsidP="001A02C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Energy consumption reduction</w:t>
      </w:r>
    </w:p>
    <w:p w14:paraId="7A3325C9" w14:textId="77777777" w:rsidR="001A02C3" w:rsidRPr="001A02C3" w:rsidRDefault="001A02C3" w:rsidP="001A02C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Carbon footprint</w:t>
      </w:r>
    </w:p>
    <w:p w14:paraId="173D929F" w14:textId="77777777" w:rsidR="001A02C3" w:rsidRPr="001A02C3" w:rsidRDefault="001A02C3" w:rsidP="001A02C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Waste diversion %</w:t>
      </w:r>
    </w:p>
    <w:p w14:paraId="302EA851" w14:textId="77777777" w:rsidR="001A02C3" w:rsidRPr="001A02C3" w:rsidRDefault="001A02C3" w:rsidP="001A02C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satisfaction index</w:t>
      </w:r>
    </w:p>
    <w:p w14:paraId="08FBFB01" w14:textId="77777777" w:rsidR="001A02C3" w:rsidRPr="001A02C3" w:rsidRDefault="001A02C3" w:rsidP="001A02C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Health &amp; safety compliance</w:t>
      </w:r>
    </w:p>
    <w:p w14:paraId="45D90518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06.7.2 ESG Rating System</w:t>
      </w:r>
    </w:p>
    <w:p w14:paraId="31A5383F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ESG Score 1–5</w:t>
      </w:r>
    </w:p>
    <w:p w14:paraId="2A6B8A27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06.7.3 Sustainability Reporting</w:t>
      </w:r>
    </w:p>
    <w:p w14:paraId="7A9FB5A8" w14:textId="77777777" w:rsidR="001A02C3" w:rsidRPr="001A02C3" w:rsidRDefault="001A02C3" w:rsidP="001A02C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Annual ESG Report</w:t>
      </w:r>
    </w:p>
    <w:p w14:paraId="5C08F6C6" w14:textId="77777777" w:rsidR="001A02C3" w:rsidRPr="001A02C3" w:rsidRDefault="001A02C3" w:rsidP="001A02C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disclosures</w:t>
      </w:r>
    </w:p>
    <w:p w14:paraId="5EEFF6CD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6DBED64" w14:textId="77777777" w:rsidR="001A02C3" w:rsidRPr="001A02C3" w:rsidRDefault="001A02C3" w:rsidP="001A02C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F-06.7-01 ESG Monitoring Template</w:t>
      </w:r>
    </w:p>
    <w:p w14:paraId="2E2EE3C8" w14:textId="77777777" w:rsidR="001A02C3" w:rsidRPr="001A02C3" w:rsidRDefault="001A02C3" w:rsidP="001A02C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F-06.7-02 Sustainability Dashboard</w:t>
      </w:r>
    </w:p>
    <w:p w14:paraId="57E529F3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07A3A0">
          <v:rect id="_x0000_i1033" style="width:0;height:1.5pt" o:hralign="center" o:hrstd="t" o:hr="t" fillcolor="#a0a0a0" stroked="f"/>
        </w:pict>
      </w:r>
    </w:p>
    <w:p w14:paraId="0D873542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06.8 Risk-Adjusted Performance Monitoring</w:t>
      </w:r>
    </w:p>
    <w:p w14:paraId="1712E09F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06.8.1 Risk-Return Matrix</w:t>
      </w:r>
    </w:p>
    <w:p w14:paraId="4A3FFDB7" w14:textId="77777777" w:rsidR="001A02C3" w:rsidRPr="001A02C3" w:rsidRDefault="001A02C3" w:rsidP="001A02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IRR vs Risk category</w:t>
      </w:r>
    </w:p>
    <w:p w14:paraId="13F53A0A" w14:textId="77777777" w:rsidR="001A02C3" w:rsidRPr="001A02C3" w:rsidRDefault="001A02C3" w:rsidP="001A02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Volatility-adjusted return</w:t>
      </w:r>
    </w:p>
    <w:p w14:paraId="41C03BF8" w14:textId="77777777" w:rsidR="001A02C3" w:rsidRPr="001A02C3" w:rsidRDefault="001A02C3" w:rsidP="001A02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Sensitivity stress testing</w:t>
      </w:r>
    </w:p>
    <w:p w14:paraId="06C964A0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06.8.2 Scenario Testing</w:t>
      </w:r>
    </w:p>
    <w:p w14:paraId="77260532" w14:textId="77777777" w:rsidR="001A02C3" w:rsidRPr="001A02C3" w:rsidRDefault="001A02C3" w:rsidP="001A02C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Vacancy stress</w:t>
      </w:r>
    </w:p>
    <w:p w14:paraId="08A23C6A" w14:textId="77777777" w:rsidR="001A02C3" w:rsidRPr="001A02C3" w:rsidRDefault="001A02C3" w:rsidP="001A02C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Interest rate shock</w:t>
      </w:r>
    </w:p>
    <w:p w14:paraId="52F45BB0" w14:textId="77777777" w:rsidR="001A02C3" w:rsidRPr="001A02C3" w:rsidRDefault="001A02C3" w:rsidP="001A02C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value drop</w:t>
      </w:r>
    </w:p>
    <w:p w14:paraId="036E5D16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BF5C8EB" w14:textId="77777777" w:rsidR="001A02C3" w:rsidRPr="001A02C3" w:rsidRDefault="001A02C3" w:rsidP="001A02C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F-06.8-01 Risk-Adjusted Performance Sheet</w:t>
      </w:r>
    </w:p>
    <w:p w14:paraId="5F29B47D" w14:textId="77777777" w:rsidR="001A02C3" w:rsidRPr="001A02C3" w:rsidRDefault="001A02C3" w:rsidP="001A02C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F-06.8-02 Stress Testing Model</w:t>
      </w:r>
    </w:p>
    <w:p w14:paraId="5DFE066F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11CF517">
          <v:rect id="_x0000_i1034" style="width:0;height:1.5pt" o:hralign="center" o:hrstd="t" o:hr="t" fillcolor="#a0a0a0" stroked="f"/>
        </w:pict>
      </w:r>
    </w:p>
    <w:p w14:paraId="7549C728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06.9 Performance Reporting &amp; Dashboards</w:t>
      </w:r>
    </w:p>
    <w:p w14:paraId="2A6A4CE2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06.9.1 Reporting Frequency</w:t>
      </w:r>
    </w:p>
    <w:p w14:paraId="4B143D9D" w14:textId="77777777" w:rsidR="001A02C3" w:rsidRPr="001A02C3" w:rsidRDefault="001A02C3" w:rsidP="001A02C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operational</w:t>
      </w:r>
    </w:p>
    <w:p w14:paraId="628C7CC3" w14:textId="77777777" w:rsidR="001A02C3" w:rsidRPr="001A02C3" w:rsidRDefault="001A02C3" w:rsidP="001A02C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financial</w:t>
      </w:r>
    </w:p>
    <w:p w14:paraId="429B1EAE" w14:textId="77777777" w:rsidR="001A02C3" w:rsidRPr="001A02C3" w:rsidRDefault="001A02C3" w:rsidP="001A02C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strategic</w:t>
      </w:r>
    </w:p>
    <w:p w14:paraId="53F4CAE2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06.9.2 Dashboard Architecture</w:t>
      </w:r>
    </w:p>
    <w:p w14:paraId="7118197D" w14:textId="77777777" w:rsidR="001A02C3" w:rsidRPr="001A02C3" w:rsidRDefault="001A02C3" w:rsidP="001A02C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Dashboard</w:t>
      </w:r>
    </w:p>
    <w:p w14:paraId="4496C500" w14:textId="77777777" w:rsidR="001A02C3" w:rsidRPr="001A02C3" w:rsidRDefault="001A02C3" w:rsidP="001A02C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Manager Dashboard</w:t>
      </w:r>
    </w:p>
    <w:p w14:paraId="67105CC0" w14:textId="77777777" w:rsidR="001A02C3" w:rsidRPr="001A02C3" w:rsidRDefault="001A02C3" w:rsidP="001A02C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 Dashboard</w:t>
      </w:r>
    </w:p>
    <w:p w14:paraId="79C32416" w14:textId="77777777" w:rsidR="001A02C3" w:rsidRPr="001A02C3" w:rsidRDefault="001A02C3" w:rsidP="001A02C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Board Report Pack</w:t>
      </w:r>
    </w:p>
    <w:p w14:paraId="4E4C673D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06.9.3 Data Visualization Standards</w:t>
      </w:r>
    </w:p>
    <w:p w14:paraId="642163C1" w14:textId="77777777" w:rsidR="001A02C3" w:rsidRPr="001A02C3" w:rsidRDefault="001A02C3" w:rsidP="001A02C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Traffic light system (RAG)</w:t>
      </w:r>
    </w:p>
    <w:p w14:paraId="6FFCBFB9" w14:textId="77777777" w:rsidR="001A02C3" w:rsidRPr="001A02C3" w:rsidRDefault="001A02C3" w:rsidP="001A02C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Trend lines (3–5 year)</w:t>
      </w:r>
    </w:p>
    <w:p w14:paraId="4E540987" w14:textId="77777777" w:rsidR="001A02C3" w:rsidRPr="001A02C3" w:rsidRDefault="001A02C3" w:rsidP="001A02C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Variance flags (&gt;10%)</w:t>
      </w:r>
    </w:p>
    <w:p w14:paraId="08FE5A7C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F31D2A">
          <v:rect id="_x0000_i1035" style="width:0;height:1.5pt" o:hralign="center" o:hrstd="t" o:hr="t" fillcolor="#a0a0a0" stroked="f"/>
        </w:pict>
      </w:r>
    </w:p>
    <w:p w14:paraId="20E203BE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06.10 Performance Review &amp; Improvement Cycle</w:t>
      </w:r>
    </w:p>
    <w:p w14:paraId="19B64872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06.10.1 Review Meetings</w:t>
      </w:r>
    </w:p>
    <w:p w14:paraId="01060EA4" w14:textId="77777777" w:rsidR="001A02C3" w:rsidRPr="001A02C3" w:rsidRDefault="001A02C3" w:rsidP="001A02C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asset meeting</w:t>
      </w:r>
    </w:p>
    <w:p w14:paraId="606C5928" w14:textId="77777777" w:rsidR="001A02C3" w:rsidRPr="001A02C3" w:rsidRDefault="001A02C3" w:rsidP="001A02C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portfolio review</w:t>
      </w:r>
    </w:p>
    <w:p w14:paraId="37A53A7C" w14:textId="77777777" w:rsidR="001A02C3" w:rsidRPr="001A02C3" w:rsidRDefault="001A02C3" w:rsidP="001A02C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strategy reset</w:t>
      </w:r>
    </w:p>
    <w:p w14:paraId="58C17C04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06.10.2 Underperformance Protocol</w:t>
      </w:r>
    </w:p>
    <w:p w14:paraId="11BF7E8C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06.10.2.1 Trigger Threshold</w:t>
      </w:r>
    </w:p>
    <w:p w14:paraId="7A667335" w14:textId="77777777" w:rsidR="001A02C3" w:rsidRPr="001A02C3" w:rsidRDefault="001A02C3" w:rsidP="001A02C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 below target 2 consecutive periods</w:t>
      </w:r>
    </w:p>
    <w:p w14:paraId="475EBADB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06.10.2.2 Corrective Action Plan</w:t>
      </w:r>
    </w:p>
    <w:p w14:paraId="18332E1D" w14:textId="77777777" w:rsidR="001A02C3" w:rsidRPr="001A02C3" w:rsidRDefault="001A02C3" w:rsidP="001A02C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Root cause analysis</w:t>
      </w:r>
    </w:p>
    <w:p w14:paraId="7E7CDE1B" w14:textId="77777777" w:rsidR="001A02C3" w:rsidRPr="001A02C3" w:rsidRDefault="001A02C3" w:rsidP="001A02C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Action owner</w:t>
      </w:r>
    </w:p>
    <w:p w14:paraId="1761AE44" w14:textId="77777777" w:rsidR="001A02C3" w:rsidRPr="001A02C3" w:rsidRDefault="001A02C3" w:rsidP="001A02C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Deadline</w:t>
      </w:r>
    </w:p>
    <w:p w14:paraId="1967354E" w14:textId="77777777" w:rsidR="001A02C3" w:rsidRPr="001A02C3" w:rsidRDefault="001A02C3" w:rsidP="001A02C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Monitoring</w:t>
      </w:r>
    </w:p>
    <w:p w14:paraId="2774B992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B2BBBC">
          <v:rect id="_x0000_i1036" style="width:0;height:1.5pt" o:hralign="center" o:hrstd="t" o:hr="t" fillcolor="#a0a0a0" stroked="f"/>
        </w:pict>
      </w:r>
    </w:p>
    <w:p w14:paraId="43FFCD69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06.11 Performance Data Governance &amp; Controls</w:t>
      </w:r>
    </w:p>
    <w:p w14:paraId="477817E6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06.11.1 Data Integrity Controls</w:t>
      </w:r>
    </w:p>
    <w:p w14:paraId="6539BBD4" w14:textId="77777777" w:rsidR="001A02C3" w:rsidRPr="001A02C3" w:rsidRDefault="001A02C3" w:rsidP="001A02C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source validation</w:t>
      </w:r>
    </w:p>
    <w:p w14:paraId="72E795B8" w14:textId="77777777" w:rsidR="001A02C3" w:rsidRPr="001A02C3" w:rsidRDefault="001A02C3" w:rsidP="001A02C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 reconciliation</w:t>
      </w:r>
    </w:p>
    <w:p w14:paraId="3967AEA7" w14:textId="77777777" w:rsidR="001A02C3" w:rsidRPr="001A02C3" w:rsidRDefault="001A02C3" w:rsidP="001A02C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trail</w:t>
      </w:r>
    </w:p>
    <w:p w14:paraId="59A40B6B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06.11.2 Segregation of Duties</w:t>
      </w:r>
    </w:p>
    <w:p w14:paraId="0556DE0B" w14:textId="77777777" w:rsidR="001A02C3" w:rsidRPr="001A02C3" w:rsidRDefault="001A02C3" w:rsidP="001A02C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input</w:t>
      </w:r>
    </w:p>
    <w:p w14:paraId="7090FB20" w14:textId="77777777" w:rsidR="001A02C3" w:rsidRPr="001A02C3" w:rsidRDefault="001A02C3" w:rsidP="001A02C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Validation</w:t>
      </w:r>
    </w:p>
    <w:p w14:paraId="04FEDE22" w14:textId="77777777" w:rsidR="001A02C3" w:rsidRPr="001A02C3" w:rsidRDefault="001A02C3" w:rsidP="001A02C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Reporting approval</w:t>
      </w:r>
    </w:p>
    <w:p w14:paraId="409C7A38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06.11.3 Compliance Alignment</w:t>
      </w:r>
    </w:p>
    <w:p w14:paraId="4E099534" w14:textId="77777777" w:rsidR="001A02C3" w:rsidRPr="001A02C3" w:rsidRDefault="001A02C3" w:rsidP="001A02C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readiness</w:t>
      </w:r>
    </w:p>
    <w:p w14:paraId="60ADC414" w14:textId="77777777" w:rsidR="001A02C3" w:rsidRPr="001A02C3" w:rsidRDefault="001A02C3" w:rsidP="001A02C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disclosure compliance</w:t>
      </w:r>
    </w:p>
    <w:p w14:paraId="05482B74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6D8FAAE">
          <v:rect id="_x0000_i1037" style="width:0;height:1.5pt" o:hralign="center" o:hrstd="t" o:hr="t" fillcolor="#a0a0a0" stroked="f"/>
        </w:pict>
      </w:r>
    </w:p>
    <w:p w14:paraId="3CB7C21B" w14:textId="77777777" w:rsidR="001A02C3" w:rsidRPr="001A02C3" w:rsidRDefault="001A02C3" w:rsidP="001A0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1A02C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1A0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Next Step Options</w:t>
      </w:r>
    </w:p>
    <w:p w14:paraId="709E4BCA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 can now:</w:t>
      </w:r>
    </w:p>
    <w:p w14:paraId="03CE7740" w14:textId="77777777" w:rsidR="001A02C3" w:rsidRPr="001A02C3" w:rsidRDefault="001A02C3" w:rsidP="001A02C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Convert this into a </w:t>
      </w:r>
      <w:r w:rsidRPr="001A02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Governance Risk &amp; Control Matrix (aligned with COSO Monitoring &amp; Performance)</w:t>
      </w:r>
    </w:p>
    <w:p w14:paraId="22C19743" w14:textId="77777777" w:rsidR="001A02C3" w:rsidRPr="001A02C3" w:rsidRDefault="001A02C3" w:rsidP="001A02C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Build a </w:t>
      </w:r>
      <w:r w:rsidRPr="001A02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Performance KPI Master Table (Consulting-grade, full matrix)</w:t>
      </w:r>
    </w:p>
    <w:p w14:paraId="77D4A3FA" w14:textId="77777777" w:rsidR="001A02C3" w:rsidRPr="001A02C3" w:rsidRDefault="001A02C3" w:rsidP="001A02C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Create </w:t>
      </w:r>
      <w:r w:rsidRPr="001A02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BPMN process maps</w:t>
      </w: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for performance cycle</w:t>
      </w:r>
    </w:p>
    <w:p w14:paraId="33A3A854" w14:textId="77777777" w:rsidR="001A02C3" w:rsidRPr="001A02C3" w:rsidRDefault="001A02C3" w:rsidP="001A02C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Design </w:t>
      </w:r>
      <w:r w:rsidRPr="001A02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Board Reporting Pack structure</w:t>
      </w:r>
    </w:p>
    <w:p w14:paraId="287D77C2" w14:textId="77777777" w:rsidR="001A02C3" w:rsidRPr="001A02C3" w:rsidRDefault="001A02C3" w:rsidP="001A02C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Build </w:t>
      </w:r>
      <w:r w:rsidRPr="001A02C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Performance Scoring Engine (1–5 weighted model)</w:t>
      </w:r>
    </w:p>
    <w:p w14:paraId="70680DC3" w14:textId="77777777" w:rsidR="001A02C3" w:rsidRPr="001A02C3" w:rsidRDefault="001A02C3" w:rsidP="001A02C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Integrate it into a full RAM Enterprise Manual master structure</w:t>
      </w:r>
    </w:p>
    <w:p w14:paraId="62E4EC32" w14:textId="77777777" w:rsidR="001A02C3" w:rsidRPr="001A02C3" w:rsidRDefault="001A02C3" w:rsidP="001A02C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15C7D1">
          <v:rect id="_x0000_i1038" style="width:0;height:1.5pt" o:hralign="center" o:hrstd="t" o:hr="t" fillcolor="#a0a0a0" stroked="f"/>
        </w:pict>
      </w:r>
    </w:p>
    <w:p w14:paraId="03462BD6" w14:textId="77777777" w:rsidR="001A02C3" w:rsidRPr="001A02C3" w:rsidRDefault="001A02C3" w:rsidP="001A0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Tell me which direction you want:</w:t>
      </w:r>
    </w:p>
    <w:p w14:paraId="360C52E9" w14:textId="77777777" w:rsidR="001A02C3" w:rsidRPr="001A02C3" w:rsidRDefault="001A02C3" w:rsidP="001A02C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Deep technical control matrix?</w:t>
      </w:r>
    </w:p>
    <w:p w14:paraId="11D587E5" w14:textId="77777777" w:rsidR="001A02C3" w:rsidRPr="001A02C3" w:rsidRDefault="001A02C3" w:rsidP="001A02C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dashboard architecture?</w:t>
      </w:r>
    </w:p>
    <w:p w14:paraId="47CB1F1A" w14:textId="77777777" w:rsidR="001A02C3" w:rsidRPr="001A02C3" w:rsidRDefault="001A02C3" w:rsidP="001A02C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A02C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Or full ISO-aligned integrated performance manual?</w:t>
      </w:r>
    </w:p>
    <w:p w14:paraId="29F9A3B5" w14:textId="77777777" w:rsidR="009650D2" w:rsidRDefault="009650D2"/>
    <w:sectPr w:rsidR="009650D2" w:rsidSect="001A02C3">
      <w:headerReference w:type="default" r:id="rId7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40CDD" w14:textId="77777777" w:rsidR="000760F5" w:rsidRDefault="000760F5" w:rsidP="00E522DE">
      <w:pPr>
        <w:spacing w:after="0" w:line="240" w:lineRule="auto"/>
      </w:pPr>
      <w:r>
        <w:separator/>
      </w:r>
    </w:p>
  </w:endnote>
  <w:endnote w:type="continuationSeparator" w:id="0">
    <w:p w14:paraId="542FBBDE" w14:textId="77777777" w:rsidR="000760F5" w:rsidRDefault="000760F5" w:rsidP="00E52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D43DC" w14:textId="77777777" w:rsidR="000760F5" w:rsidRDefault="000760F5" w:rsidP="00E522DE">
      <w:pPr>
        <w:spacing w:after="0" w:line="240" w:lineRule="auto"/>
      </w:pPr>
      <w:r>
        <w:separator/>
      </w:r>
    </w:p>
  </w:footnote>
  <w:footnote w:type="continuationSeparator" w:id="0">
    <w:p w14:paraId="087FA11D" w14:textId="77777777" w:rsidR="000760F5" w:rsidRDefault="000760F5" w:rsidP="00E52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ACBCA" w14:textId="4CD7CDDC" w:rsidR="00E522DE" w:rsidRDefault="00E522DE">
    <w:pPr>
      <w:pStyle w:val="Header"/>
    </w:pPr>
    <w:r w:rsidRPr="00E522DE">
      <w:t>RAM ENTERPRISE P&amp;P WBS STRUCTURE – 06_Performance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58F2"/>
    <w:multiLevelType w:val="multilevel"/>
    <w:tmpl w:val="0F1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13C42"/>
    <w:multiLevelType w:val="multilevel"/>
    <w:tmpl w:val="C478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A7614"/>
    <w:multiLevelType w:val="multilevel"/>
    <w:tmpl w:val="3992E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5009D"/>
    <w:multiLevelType w:val="multilevel"/>
    <w:tmpl w:val="6C6A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B2472"/>
    <w:multiLevelType w:val="multilevel"/>
    <w:tmpl w:val="A554F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B4198"/>
    <w:multiLevelType w:val="multilevel"/>
    <w:tmpl w:val="3A74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50722"/>
    <w:multiLevelType w:val="multilevel"/>
    <w:tmpl w:val="9C36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410D1"/>
    <w:multiLevelType w:val="multilevel"/>
    <w:tmpl w:val="CD1C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2C2566"/>
    <w:multiLevelType w:val="multilevel"/>
    <w:tmpl w:val="D180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7068DC"/>
    <w:multiLevelType w:val="multilevel"/>
    <w:tmpl w:val="FD52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94C6E"/>
    <w:multiLevelType w:val="multilevel"/>
    <w:tmpl w:val="BCAA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B10683"/>
    <w:multiLevelType w:val="multilevel"/>
    <w:tmpl w:val="DB5E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5225DA"/>
    <w:multiLevelType w:val="multilevel"/>
    <w:tmpl w:val="8574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3B09CD"/>
    <w:multiLevelType w:val="multilevel"/>
    <w:tmpl w:val="66EE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31F1F"/>
    <w:multiLevelType w:val="multilevel"/>
    <w:tmpl w:val="3BFC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6D6A19"/>
    <w:multiLevelType w:val="multilevel"/>
    <w:tmpl w:val="35AA4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452BD2"/>
    <w:multiLevelType w:val="multilevel"/>
    <w:tmpl w:val="9294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736D7D"/>
    <w:multiLevelType w:val="multilevel"/>
    <w:tmpl w:val="6994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891CC0"/>
    <w:multiLevelType w:val="multilevel"/>
    <w:tmpl w:val="464A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D4A92"/>
    <w:multiLevelType w:val="multilevel"/>
    <w:tmpl w:val="182A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A44487"/>
    <w:multiLevelType w:val="multilevel"/>
    <w:tmpl w:val="835A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8846C4"/>
    <w:multiLevelType w:val="multilevel"/>
    <w:tmpl w:val="27D2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4064B2"/>
    <w:multiLevelType w:val="multilevel"/>
    <w:tmpl w:val="85F0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235DF4"/>
    <w:multiLevelType w:val="multilevel"/>
    <w:tmpl w:val="5E9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0A72AE"/>
    <w:multiLevelType w:val="multilevel"/>
    <w:tmpl w:val="82D8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0B1D1A"/>
    <w:multiLevelType w:val="multilevel"/>
    <w:tmpl w:val="3C1EA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22679E"/>
    <w:multiLevelType w:val="multilevel"/>
    <w:tmpl w:val="D6DE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6B7C52"/>
    <w:multiLevelType w:val="multilevel"/>
    <w:tmpl w:val="52C0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B71D9B"/>
    <w:multiLevelType w:val="multilevel"/>
    <w:tmpl w:val="D206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F1238A"/>
    <w:multiLevelType w:val="multilevel"/>
    <w:tmpl w:val="3C560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9174BF"/>
    <w:multiLevelType w:val="multilevel"/>
    <w:tmpl w:val="361E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B44683"/>
    <w:multiLevelType w:val="multilevel"/>
    <w:tmpl w:val="A8AC7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E3105D"/>
    <w:multiLevelType w:val="multilevel"/>
    <w:tmpl w:val="EF64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F0694F"/>
    <w:multiLevelType w:val="multilevel"/>
    <w:tmpl w:val="A8DE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AB5AD9"/>
    <w:multiLevelType w:val="multilevel"/>
    <w:tmpl w:val="EA4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236175"/>
    <w:multiLevelType w:val="multilevel"/>
    <w:tmpl w:val="2B7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ED6E5B"/>
    <w:multiLevelType w:val="multilevel"/>
    <w:tmpl w:val="F58C8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8E09B5"/>
    <w:multiLevelType w:val="multilevel"/>
    <w:tmpl w:val="1482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D40552"/>
    <w:multiLevelType w:val="multilevel"/>
    <w:tmpl w:val="B9709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F7091B"/>
    <w:multiLevelType w:val="multilevel"/>
    <w:tmpl w:val="1008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6089589">
    <w:abstractNumId w:val="30"/>
  </w:num>
  <w:num w:numId="2" w16cid:durableId="1496651066">
    <w:abstractNumId w:val="24"/>
  </w:num>
  <w:num w:numId="3" w16cid:durableId="2037149910">
    <w:abstractNumId w:val="1"/>
  </w:num>
  <w:num w:numId="4" w16cid:durableId="167214200">
    <w:abstractNumId w:val="4"/>
  </w:num>
  <w:num w:numId="5" w16cid:durableId="2065324804">
    <w:abstractNumId w:val="35"/>
  </w:num>
  <w:num w:numId="6" w16cid:durableId="189148342">
    <w:abstractNumId w:val="38"/>
  </w:num>
  <w:num w:numId="7" w16cid:durableId="1310212023">
    <w:abstractNumId w:val="3"/>
  </w:num>
  <w:num w:numId="8" w16cid:durableId="1640111142">
    <w:abstractNumId w:val="8"/>
  </w:num>
  <w:num w:numId="9" w16cid:durableId="1361475195">
    <w:abstractNumId w:val="7"/>
  </w:num>
  <w:num w:numId="10" w16cid:durableId="496580939">
    <w:abstractNumId w:val="6"/>
  </w:num>
  <w:num w:numId="11" w16cid:durableId="1444613449">
    <w:abstractNumId w:val="17"/>
  </w:num>
  <w:num w:numId="12" w16cid:durableId="597298534">
    <w:abstractNumId w:val="31"/>
  </w:num>
  <w:num w:numId="13" w16cid:durableId="1340035533">
    <w:abstractNumId w:val="12"/>
  </w:num>
  <w:num w:numId="14" w16cid:durableId="903299071">
    <w:abstractNumId w:val="34"/>
  </w:num>
  <w:num w:numId="15" w16cid:durableId="1016686494">
    <w:abstractNumId w:val="27"/>
  </w:num>
  <w:num w:numId="16" w16cid:durableId="1416047633">
    <w:abstractNumId w:val="29"/>
  </w:num>
  <w:num w:numId="17" w16cid:durableId="115487879">
    <w:abstractNumId w:val="16"/>
  </w:num>
  <w:num w:numId="18" w16cid:durableId="1816021612">
    <w:abstractNumId w:val="33"/>
  </w:num>
  <w:num w:numId="19" w16cid:durableId="788278270">
    <w:abstractNumId w:val="28"/>
  </w:num>
  <w:num w:numId="20" w16cid:durableId="611395947">
    <w:abstractNumId w:val="39"/>
  </w:num>
  <w:num w:numId="21" w16cid:durableId="1397507961">
    <w:abstractNumId w:val="9"/>
  </w:num>
  <w:num w:numId="22" w16cid:durableId="988439769">
    <w:abstractNumId w:val="15"/>
  </w:num>
  <w:num w:numId="23" w16cid:durableId="1121340390">
    <w:abstractNumId w:val="11"/>
  </w:num>
  <w:num w:numId="24" w16cid:durableId="306710923">
    <w:abstractNumId w:val="0"/>
  </w:num>
  <w:num w:numId="25" w16cid:durableId="367031932">
    <w:abstractNumId w:val="23"/>
  </w:num>
  <w:num w:numId="26" w16cid:durableId="965237480">
    <w:abstractNumId w:val="18"/>
  </w:num>
  <w:num w:numId="27" w16cid:durableId="1404764754">
    <w:abstractNumId w:val="14"/>
  </w:num>
  <w:num w:numId="28" w16cid:durableId="1194155799">
    <w:abstractNumId w:val="22"/>
  </w:num>
  <w:num w:numId="29" w16cid:durableId="241643691">
    <w:abstractNumId w:val="26"/>
  </w:num>
  <w:num w:numId="30" w16cid:durableId="329986614">
    <w:abstractNumId w:val="32"/>
  </w:num>
  <w:num w:numId="31" w16cid:durableId="1758208125">
    <w:abstractNumId w:val="2"/>
  </w:num>
  <w:num w:numId="32" w16cid:durableId="1511868460">
    <w:abstractNumId w:val="5"/>
  </w:num>
  <w:num w:numId="33" w16cid:durableId="1665738272">
    <w:abstractNumId w:val="37"/>
  </w:num>
  <w:num w:numId="34" w16cid:durableId="40448885">
    <w:abstractNumId w:val="25"/>
  </w:num>
  <w:num w:numId="35" w16cid:durableId="1047605889">
    <w:abstractNumId w:val="20"/>
  </w:num>
  <w:num w:numId="36" w16cid:durableId="1541551144">
    <w:abstractNumId w:val="19"/>
  </w:num>
  <w:num w:numId="37" w16cid:durableId="157428091">
    <w:abstractNumId w:val="13"/>
  </w:num>
  <w:num w:numId="38" w16cid:durableId="839656963">
    <w:abstractNumId w:val="10"/>
  </w:num>
  <w:num w:numId="39" w16cid:durableId="38937373">
    <w:abstractNumId w:val="36"/>
  </w:num>
  <w:num w:numId="40" w16cid:durableId="19533237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C3"/>
    <w:rsid w:val="00006503"/>
    <w:rsid w:val="000255D3"/>
    <w:rsid w:val="000760F5"/>
    <w:rsid w:val="000B6FB0"/>
    <w:rsid w:val="001A02C3"/>
    <w:rsid w:val="001A217F"/>
    <w:rsid w:val="002D2B53"/>
    <w:rsid w:val="003575C5"/>
    <w:rsid w:val="00361BC5"/>
    <w:rsid w:val="003926D6"/>
    <w:rsid w:val="003E072D"/>
    <w:rsid w:val="004B6DC6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C80371"/>
    <w:rsid w:val="00CC6EB7"/>
    <w:rsid w:val="00D613DB"/>
    <w:rsid w:val="00DE12BB"/>
    <w:rsid w:val="00E522DE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52E27"/>
  <w15:chartTrackingRefBased/>
  <w15:docId w15:val="{4C5905BD-7562-4873-9915-1C017AC2B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0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2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2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2C3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2C3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2C3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2C3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2C3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2C3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2C3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1A0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2C3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2C3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1A0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2C3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1A0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2C3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1A02C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2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2DE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E52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2DE"/>
    <w:rPr>
      <w:lang w:val="en-US" w:bidi="ar-E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945</Words>
  <Characters>4928</Characters>
  <Application>Microsoft Office Word</Application>
  <DocSecurity>0</DocSecurity>
  <Lines>379</Lines>
  <Paragraphs>391</Paragraphs>
  <ScaleCrop>false</ScaleCrop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2</cp:revision>
  <dcterms:created xsi:type="dcterms:W3CDTF">2026-03-03T17:15:00Z</dcterms:created>
  <dcterms:modified xsi:type="dcterms:W3CDTF">2026-03-03T17:32:00Z</dcterms:modified>
</cp:coreProperties>
</file>