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C268F7" w:rsidRPr="00327738" w:rsidRDefault="00C268F7" w:rsidP="00C268F7">
      <w:pPr>
        <w:pStyle w:val="IntenseQuote"/>
        <w:jc w:val="center"/>
        <w:rPr>
          <w:i w:val="0"/>
          <w:kern w:val="36"/>
          <w:sz w:val="48"/>
          <w:szCs w:val="40"/>
        </w:rPr>
      </w:pPr>
      <w:r w:rsidRPr="00327738">
        <w:rPr>
          <w:i w:val="0"/>
          <w:kern w:val="36"/>
          <w:sz w:val="48"/>
          <w:szCs w:val="40"/>
        </w:rPr>
        <w:t>D</w:t>
      </w:r>
      <w:r>
        <w:rPr>
          <w:i w:val="0"/>
          <w:kern w:val="36"/>
          <w:sz w:val="48"/>
          <w:szCs w:val="40"/>
        </w:rPr>
        <w:t>omayne’s</w:t>
      </w:r>
      <w:r w:rsidRPr="00327738">
        <w:rPr>
          <w:i w:val="0"/>
          <w:kern w:val="36"/>
          <w:sz w:val="48"/>
          <w:szCs w:val="40"/>
        </w:rPr>
        <w:t xml:space="preserve"> </w:t>
      </w:r>
      <w:r w:rsidR="00E50BCC">
        <w:rPr>
          <w:i w:val="0"/>
          <w:kern w:val="36"/>
          <w:sz w:val="48"/>
          <w:szCs w:val="40"/>
        </w:rPr>
        <w:t>Silver detailed</w:t>
      </w:r>
      <w:r>
        <w:rPr>
          <w:i w:val="0"/>
          <w:kern w:val="36"/>
          <w:sz w:val="48"/>
          <w:szCs w:val="40"/>
        </w:rPr>
        <w:t xml:space="preserve"> Dining Set</w:t>
      </w:r>
    </w:p>
    <w:p w:rsidR="00C268F7" w:rsidRDefault="00C268F7" w:rsidP="00C268F7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3819525" cy="241356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1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C268F7" w:rsidTr="008C42D7">
        <w:trPr>
          <w:trHeight w:val="477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268F7" w:rsidRPr="00727F6B" w:rsidRDefault="00C268F7" w:rsidP="00C05613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C268F7" w:rsidTr="00C05613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Pr="007D0F33" w:rsidRDefault="00C268F7" w:rsidP="00C268F7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Domayne introduces stylish 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steel</w:t>
            </w:r>
            <w:r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dining set with a rich 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silver glowing</w:t>
            </w:r>
            <w:r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finish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on top</w:t>
            </w:r>
            <w:r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the set of tables and chairs is perfect to create the perfect 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the lighting surrounding</w:t>
            </w:r>
            <w:r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. The rich stainless steel with 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mirror silver</w:t>
            </w:r>
            <w:r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on top gives you feeling of 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large decorating piece</w:t>
            </w:r>
            <w:r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. Perfect for 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party environment</w:t>
            </w:r>
            <w:r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>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C268F7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268F7" w:rsidRPr="007954F7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268F7" w:rsidRDefault="006C2043" w:rsidP="00C268F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1270</w:t>
            </w:r>
            <w:r w:rsidR="00C268F7">
              <w:rPr>
                <w:b/>
                <w:sz w:val="40"/>
                <w:szCs w:val="28"/>
              </w:rPr>
              <w:t>$</w:t>
            </w:r>
          </w:p>
        </w:tc>
      </w:tr>
      <w:tr w:rsidR="00C268F7" w:rsidTr="00C05613">
        <w:trPr>
          <w:trHeight w:val="2"/>
        </w:trPr>
        <w:tc>
          <w:tcPr>
            <w:tcW w:w="32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268F7" w:rsidRPr="007954F7" w:rsidRDefault="00C268F7" w:rsidP="00C0561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Pr="007954F7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Table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Pr="00D347B9" w:rsidRDefault="00C268F7" w:rsidP="00C268F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45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35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45</w:t>
            </w:r>
            <w:r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C268F7" w:rsidTr="00C05613">
        <w:trPr>
          <w:trHeight w:val="2"/>
        </w:trPr>
        <w:tc>
          <w:tcPr>
            <w:tcW w:w="32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268F7" w:rsidRPr="007954F7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Chairs 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L  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Default="00C268F7" w:rsidP="00C268F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36"/>
                <w:szCs w:val="36"/>
              </w:rPr>
              <w:t>30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24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28</w:t>
            </w:r>
            <w:r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C268F7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268F7" w:rsidRPr="007558E5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Pr="00936AC7" w:rsidRDefault="00C268F7" w:rsidP="00C268F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Six Chairs and One Table with on top and bending balanced legs will help to adjust according to the weight</w:t>
            </w:r>
          </w:p>
        </w:tc>
      </w:tr>
      <w:tr w:rsidR="00C268F7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268F7" w:rsidRPr="007558E5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Mirror Silver</w:t>
            </w:r>
          </w:p>
        </w:tc>
      </w:tr>
      <w:tr w:rsidR="00C268F7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268F7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Default="00C268F7" w:rsidP="00C268F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Silver, Chrome and Opaque purple</w:t>
            </w:r>
          </w:p>
        </w:tc>
      </w:tr>
    </w:tbl>
    <w:p w:rsidR="00C268F7" w:rsidRPr="007954F7" w:rsidRDefault="00C268F7" w:rsidP="00C268F7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C268F7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25D27"/>
    <w:rsid w:val="001431FA"/>
    <w:rsid w:val="003C6F33"/>
    <w:rsid w:val="006C2043"/>
    <w:rsid w:val="00727F6B"/>
    <w:rsid w:val="007558E5"/>
    <w:rsid w:val="007954F7"/>
    <w:rsid w:val="00836318"/>
    <w:rsid w:val="008C42D7"/>
    <w:rsid w:val="00A30640"/>
    <w:rsid w:val="00B56347"/>
    <w:rsid w:val="00C268F7"/>
    <w:rsid w:val="00E50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8F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8F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pro1111f10</cp:lastModifiedBy>
  <cp:revision>5</cp:revision>
  <dcterms:created xsi:type="dcterms:W3CDTF">2012-05-09T08:21:00Z</dcterms:created>
  <dcterms:modified xsi:type="dcterms:W3CDTF">2012-05-10T11:55:00Z</dcterms:modified>
</cp:coreProperties>
</file>