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pPr>
      <w:r>
        <w:t xml:space="preserve">6. Discussion</w:t>
      </w:r>
    </w:p>
    <w:p>
      <w:pPr>
        <w:pStyle w:val="Heading2"/>
        <w:spacing w:before="250"/>
      </w:pPr>
      <w:r>
        <w:t xml:space="preserve">6.1 Interpretation of Model Comparison Results</w:t>
      </w:r>
    </w:p>
    <w:p>
      <w:pPr>
        <w:spacing w:after="200" w:before="0"/>
      </w:pPr>
      <w:r>
        <w:rPr>
          <w:sz w:val="22"/>
          <w:szCs w:val="22"/>
        </w:rPr>
        <w:t xml:space="preserve">The results (Section 4) show that traditional ensemble methods (Random Forest, XGBoost) significantly outperform the LSTM on this dataset, with no significant difference between the two ensemble methods themselves. This is consistent with the literature reviewed in Section 2: Sarkar and Etemad [3] note that LSTM architectures require substantial labelled data to generalise without overfitting, and Siirtola and Roning [4] demonstrate that person-independent evaluation reveals generalisation challenges not visible under person-dependent protocols. WESAD's 15-subject sample size sits at the lower end of what deep sequence models typically require, which plausibly explains the LSTM's weaker, though not catastrophic, performance under LOSO evaluation.</w:t>
      </w:r>
    </w:p>
    <w:p>
      <w:pPr>
        <w:spacing w:after="200" w:before="0"/>
      </w:pPr>
      <w:r>
        <w:rPr>
          <w:sz w:val="22"/>
          <w:szCs w:val="22"/>
        </w:rPr>
        <w:t xml:space="preserve">A methodologically important finding emerged partway through the project: a numerical instability bug in the Respiration channel's bandpass filter (Section 4.0) had been silently corrupting one of five input channels across all 1,105 windows. Correcting this bug improved Random Forest and XGBoost F1-macro by 0.085 and 0.096 respectively, and transformed the LSTM from complete per-fold class collapse (predicting a single class for every window in a given fold) to a genuinely discriminating classifier across all three classes in every fold. This illustrates a broader methodological point: an architecture's apparent failure can sometimes reflect a data pipeline defect rather than a genuine model limitation, and systematic validation of intermediate pipeline outputs (rather than only final metrics) is a necessary safeguard against such silent errors.</w:t>
      </w:r>
    </w:p>
    <w:p>
      <w:pPr>
        <w:pStyle w:val="Heading2"/>
        <w:spacing w:before="250"/>
      </w:pPr>
      <w:r>
        <w:t xml:space="preserve">6.2 Effect Sizes and Practical Significance</w:t>
      </w:r>
    </w:p>
    <w:p>
      <w:pPr>
        <w:spacing w:after="200" w:before="0"/>
      </w:pPr>
      <w:r>
        <w:rPr>
          <w:sz w:val="22"/>
          <w:szCs w:val="22"/>
        </w:rPr>
        <w:t xml:space="preserve">Beyond statistical significance, effect sizes (Table 2) provide a fuller picture: the RF-vs-LSTM comparison weakened from a maximal effect (r = 1.000, every subject favouring RF) under the corrupted pipeline to a medium effect (r = 0.600) after correction, with at least one subject (S4) where the LSTM outperformed Random Forest outright. This suggests the LSTM's disadvantage, while real and statistically significant, is not absolute, and that subject-specific physiological variability may favour different model architectures for different individuals — a nuance obscured by aggregate metrics alone and worth highlighting as it tempers an otherwise simple 'traditional ML wins' narrative.</w:t>
      </w:r>
    </w:p>
    <w:p>
      <w:pPr>
        <w:pStyle w:val="Heading2"/>
        <w:spacing w:before="250"/>
      </w:pPr>
      <w:r>
        <w:t xml:space="preserve">6.3 Deployment Viability</w:t>
      </w:r>
    </w:p>
    <w:p>
      <w:pPr>
        <w:spacing w:after="200" w:before="0"/>
      </w:pPr>
      <w:r>
        <w:rPr>
          <w:sz w:val="22"/>
          <w:szCs w:val="22"/>
        </w:rPr>
        <w:t xml:space="preserve">XGBoost's selection for deployment (Section 4.4) was justified on combined accuracy and latency grounds: statistically indistinguishable from Random Forest in predictive performance, but consuming under 1ms of inference time versus Random Forest's 27ms and the LSTM's 127ms in server-side benchmarking (Table 3), and comfortably meeting the proposal's &lt;200ms target even under real browser-measured round-trip conditions (38.58ms, Table 4). This demonstrates that the model offering the strongest accuracy is not automatically the correct deployment choice where multiple models are statistically equivalent on accuracy; latency becomes the deciding practical factor.</w:t>
      </w:r>
    </w:p>
    <w:p>
      <w:pPr>
        <w:pStyle w:val="Heading1"/>
        <w:spacing w:before="300"/>
      </w:pPr>
      <w:r>
        <w:t xml:space="preserve">7. Limitations and Future Work</w:t>
      </w:r>
    </w:p>
    <w:p>
      <w:pPr>
        <w:pStyle w:val="Heading2"/>
        <w:spacing w:before="250"/>
      </w:pPr>
      <w:r>
        <w:t xml:space="preserve">7.1 Limitations</w:t>
      </w:r>
    </w:p>
    <w:p>
      <w:pPr>
        <w:pStyle w:val="ListParagraph"/>
        <w:numPr>
          <w:ilvl w:val="0"/>
          <w:numId w:val="1"/>
        </w:numPr>
        <w:spacing w:after="100"/>
      </w:pPr>
      <w:r>
        <w:rPr>
          <w:sz w:val="22"/>
          <w:szCs w:val="22"/>
        </w:rPr>
        <w:t xml:space="preserve">Single dataset: all results are specific to WESAD; generalisation to other wearable stress datasets or real-world (non-laboratory) conditions is untested.</w:t>
      </w:r>
    </w:p>
    <w:p>
      <w:pPr>
        <w:pStyle w:val="ListParagraph"/>
        <w:numPr>
          <w:ilvl w:val="0"/>
          <w:numId w:val="1"/>
        </w:numPr>
        <w:spacing w:after="100"/>
      </w:pPr>
      <w:r>
        <w:rPr>
          <w:sz w:val="22"/>
          <w:szCs w:val="22"/>
        </w:rPr>
        <w:t xml:space="preserve">No formal hyperparameter optimisation: grid search (Random Forest, XGBoost) and Keras Tuner (LSTM) were specified in the project proposal but not conducted within the available timeline. Fixed, literature-informed hyperparameters were used instead (Table 6). Reported performance therefore represents a reasonable baseline rather than each model's optimised ceiling; the gap between models could plausibly narrow or widen under proper tuning.</w:t>
      </w:r>
    </w:p>
    <w:p>
      <w:pPr>
        <w:pStyle w:val="ListParagraph"/>
        <w:numPr>
          <w:ilvl w:val="0"/>
          <w:numId w:val="1"/>
        </w:numPr>
        <w:spacing w:after="100"/>
      </w:pPr>
      <w:r>
        <w:rPr>
          <w:sz w:val="22"/>
          <w:szCs w:val="22"/>
        </w:rPr>
        <w:t xml:space="preserve">Usability evaluation substitution: the proposed System Usability Scale (SUS) study with approximately 10 participants required university ethics approval, which had not been secured within the project timeline. Functional, latency, and cross-browser testing were substituted (Section 5.3-5.4), but no formal usability score was obtained.</w:t>
      </w:r>
    </w:p>
    <w:p>
      <w:pPr>
        <w:pStyle w:val="ListParagraph"/>
        <w:numPr>
          <w:ilvl w:val="0"/>
          <w:numId w:val="1"/>
        </w:numPr>
        <w:spacing w:after="100"/>
      </w:pPr>
      <w:r>
        <w:rPr>
          <w:sz w:val="22"/>
          <w:szCs w:val="22"/>
        </w:rPr>
        <w:t xml:space="preserve">Cross-browser testing scope: only Chrome and Edge were tested; Firefox and mobile browsers were not evaluated.</w:t>
      </w:r>
    </w:p>
    <w:p>
      <w:pPr>
        <w:pStyle w:val="ListParagraph"/>
        <w:numPr>
          <w:ilvl w:val="0"/>
          <w:numId w:val="1"/>
        </w:numPr>
        <w:spacing w:after="100"/>
      </w:pPr>
      <w:r>
        <w:rPr>
          <w:sz w:val="22"/>
          <w:szCs w:val="22"/>
        </w:rPr>
        <w:t xml:space="preserve">Chest-worn signals only: the wrist-worn (Empatica E4) signal set available in WESAD was not used, in line with the project's original scope, but this limits applicability to consumer wrist-wearables, which are more common than chest-worn sensors in practice.</w:t>
      </w:r>
    </w:p>
    <w:p>
      <w:pPr>
        <w:pStyle w:val="ListParagraph"/>
        <w:numPr>
          <w:ilvl w:val="0"/>
          <w:numId w:val="1"/>
        </w:numPr>
        <w:spacing w:after="100"/>
      </w:pPr>
      <w:r>
        <w:rPr>
          <w:sz w:val="22"/>
          <w:szCs w:val="22"/>
        </w:rPr>
        <w:t xml:space="preserve">LOSO computational cost precluded nested cross-validation for hyperparameter search, a known trade-off explicitly anticipated in the project's risk register.</w:t>
      </w:r>
    </w:p>
    <w:p>
      <w:pPr>
        <w:pStyle w:val="Heading2"/>
        <w:spacing w:before="250"/>
      </w:pPr>
      <w:r>
        <w:t xml:space="preserve">7.2 Future Work</w:t>
      </w:r>
    </w:p>
    <w:p>
      <w:pPr>
        <w:pStyle w:val="ListParagraph"/>
        <w:numPr>
          <w:ilvl w:val="0"/>
          <w:numId w:val="1"/>
        </w:numPr>
        <w:spacing w:after="100"/>
      </w:pPr>
      <w:r>
        <w:rPr>
          <w:sz w:val="22"/>
          <w:szCs w:val="22"/>
        </w:rPr>
        <w:t xml:space="preserve">Conduct the formal SUS usability study once ethics approval is secured, to obtain a validated usability score and qualitative user feedback.</w:t>
      </w:r>
    </w:p>
    <w:p>
      <w:pPr>
        <w:pStyle w:val="ListParagraph"/>
        <w:numPr>
          <w:ilvl w:val="0"/>
          <w:numId w:val="1"/>
        </w:numPr>
        <w:spacing w:after="100"/>
      </w:pPr>
      <w:r>
        <w:rPr>
          <w:sz w:val="22"/>
          <w:szCs w:val="22"/>
        </w:rPr>
        <w:t xml:space="preserve">Perform grid search (Random Forest, XGBoost) and Keras Tuner search (LSTM) within a nested or held-out validation scheme to establish whether the reported model ranking is robust to proper tuning.</w:t>
      </w:r>
    </w:p>
    <w:p>
      <w:pPr>
        <w:pStyle w:val="ListParagraph"/>
        <w:numPr>
          <w:ilvl w:val="0"/>
          <w:numId w:val="1"/>
        </w:numPr>
        <w:spacing w:after="100"/>
      </w:pPr>
      <w:r>
        <w:rPr>
          <w:sz w:val="22"/>
          <w:szCs w:val="22"/>
        </w:rPr>
        <w:t xml:space="preserve">Extend evaluation to wrist-worn signals and/or additional public wearable-stress datasets to test generalisation beyond WESAD.</w:t>
      </w:r>
    </w:p>
    <w:p>
      <w:pPr>
        <w:pStyle w:val="ListParagraph"/>
        <w:numPr>
          <w:ilvl w:val="0"/>
          <w:numId w:val="1"/>
        </w:numPr>
        <w:spacing w:after="100"/>
      </w:pPr>
      <w:r>
        <w:rPr>
          <w:sz w:val="22"/>
          <w:szCs w:val="22"/>
        </w:rPr>
        <w:t xml:space="preserve">Investigate why certain subjects (e.g. S4) favour the LSTM over ensemble methods, potentially informing a per-subject or ensemble-of-models deployment strategy.</w:t>
      </w:r>
    </w:p>
    <w:p>
      <w:pPr>
        <w:pStyle w:val="ListParagraph"/>
        <w:numPr>
          <w:ilvl w:val="0"/>
          <w:numId w:val="1"/>
        </w:numPr>
        <w:spacing w:after="100"/>
      </w:pPr>
      <w:r>
        <w:rPr>
          <w:sz w:val="22"/>
          <w:szCs w:val="22"/>
        </w:rPr>
        <w:t xml:space="preserve">Deploy the API behind a production-grade WSGI server (e.g. Gunicorn) and conduct load testing beyond the single-request latency benchmarking performed in this project.</w:t>
      </w:r>
    </w:p>
    <w:p>
      <w:pPr>
        <w:pStyle w:val="Heading1"/>
        <w:spacing w:before="300"/>
      </w:pPr>
      <w:r>
        <w:t xml:space="preserve">8. Conclusion</w:t>
      </w:r>
    </w:p>
    <w:p>
      <w:pPr>
        <w:spacing w:after="200" w:before="0"/>
      </w:pPr>
      <w:r>
        <w:rPr>
          <w:sz w:val="22"/>
          <w:szCs w:val="22"/>
        </w:rPr>
        <w:t xml:space="preserve">This project implemented and rigorously compared three machine learning approaches to wearable-sensor stress detection, XGBoost, Random Forest, and LSTM, under a Leave-One-Subject-Out evaluation protocol on the WESAD dataset, with statistical significance and effect-size testing to substantiate model comparisons. XGBoost was identified as the strongest deployment candidate on combined accuracy and inference-latency grounds (0.785 accuracy, 0.650 F1-macro, sub-millisecond inference), and was deployed behind a working Flask REST API and React dashboard, demonstrating a complete, functioning pipeline from raw physiological sensor data through to a real-time, colour-coded stress prediction interface. A significant preprocessing defect was identified and corrected mid-project, materially improving results across all three models and illustrating the practical importance of pipeline validation in applied machine learning work. While two elements of the original proposal, formal hyperparameter optimisation and the full SUS usability study, were not completed within the project timeline and are disclosed transparently as limitations, the core technical and empirical objectives of the project, comparative model evaluation, statistical validation, and functioning end-to-end deployment, were achieved.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2026-07-02T21:54:10.429Z</dcterms:created>
  <dcterms:modified xsi:type="dcterms:W3CDTF">2026-07-02T21:54:10.429Z</dcterms:modified>
</cp:coreProperties>
</file>

<file path=docProps/custom.xml><?xml version="1.0" encoding="utf-8"?>
<Properties xmlns="http://schemas.openxmlformats.org/officeDocument/2006/custom-properties" xmlns:vt="http://schemas.openxmlformats.org/officeDocument/2006/docPropsVTypes"/>
</file>