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 Literature Review</w:t>
      </w:r>
    </w:p>
    <w:p>
      <w:pPr>
        <w:pStyle w:val="Heading2"/>
        <w:spacing w:before="200"/>
      </w:pPr>
      <w:r>
        <w:t xml:space="preserve">2.1 Comparison of Prior Work</w:t>
      </w:r>
    </w:p>
    <w:p>
      <w:pPr>
        <w:spacing w:after="200"/>
      </w:pPr>
      <w:r>
        <w:rPr>
          <w:sz w:val="22"/>
          <w:szCs w:val="22"/>
        </w:rPr>
        <w:t xml:space="preserve">Table 0 summarises the core literature underpinning this project's design, alongside this project's own positioning within that body of 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600"/>
        <w:gridCol w:w="1600"/>
        <w:gridCol w:w="1200"/>
        <w:gridCol w:w="2400"/>
      </w:tblGrid>
      <w:tr>
        <w:tc>
          <w:tcPr>
            <w:tcW w:type="dxa" w:w="1400"/>
            <w:shd w:fill="2F5496" w:val="clear"/>
          </w:tcPr>
          <w:p>
            <w:r>
              <w:rPr>
                <w:b/>
                <w:bCs/>
                <w:color w:val="FFFFFF"/>
                <w:sz w:val="18"/>
                <w:szCs w:val="18"/>
              </w:rPr>
              <w:t xml:space="preserve">Author(s)</w:t>
            </w:r>
          </w:p>
        </w:tc>
        <w:tc>
          <w:tcPr>
            <w:tcW w:type="dxa" w:w="1300"/>
            <w:shd w:fill="2F5496" w:val="clear"/>
          </w:tcPr>
          <w:p>
            <w:r>
              <w:rPr>
                <w:b/>
                <w:bCs/>
                <w:color w:val="FFFFFF"/>
                <w:sz w:val="18"/>
                <w:szCs w:val="18"/>
              </w:rPr>
              <w:t xml:space="preserve">Dataset</w:t>
            </w:r>
          </w:p>
        </w:tc>
        <w:tc>
          <w:tcPr>
            <w:tcW w:type="dxa" w:w="1600"/>
            <w:shd w:fill="2F5496" w:val="clear"/>
          </w:tcPr>
          <w:p>
            <w:r>
              <w:rPr>
                <w:b/>
                <w:bCs/>
                <w:color w:val="FFFFFF"/>
                <w:sz w:val="18"/>
                <w:szCs w:val="18"/>
              </w:rPr>
              <w:t xml:space="preserve">Models</w:t>
            </w:r>
          </w:p>
        </w:tc>
        <w:tc>
          <w:tcPr>
            <w:tcW w:type="dxa" w:w="1600"/>
            <w:shd w:fill="2F5496" w:val="clear"/>
          </w:tcPr>
          <w:p>
            <w:r>
              <w:rPr>
                <w:b/>
                <w:bCs/>
                <w:color w:val="FFFFFF"/>
                <w:sz w:val="18"/>
                <w:szCs w:val="18"/>
              </w:rPr>
              <w:t xml:space="preserve">Validation Method</w:t>
            </w:r>
          </w:p>
        </w:tc>
        <w:tc>
          <w:tcPr>
            <w:tcW w:type="dxa" w:w="1200"/>
            <w:shd w:fill="2F5496" w:val="clear"/>
          </w:tcPr>
          <w:p>
            <w:r>
              <w:rPr>
                <w:b/>
                <w:bCs/>
                <w:color w:val="FFFFFF"/>
                <w:sz w:val="18"/>
                <w:szCs w:val="18"/>
              </w:rPr>
              <w:t xml:space="preserve">Best F1 / Accuracy</w:t>
            </w:r>
          </w:p>
        </w:tc>
        <w:tc>
          <w:tcPr>
            <w:tcW w:type="dxa" w:w="2400"/>
            <w:shd w:fill="2F5496" w:val="clear"/>
          </w:tcPr>
          <w:p>
            <w:r>
              <w:rPr>
                <w:b/>
                <w:bCs/>
                <w:color w:val="FFFFFF"/>
                <w:sz w:val="18"/>
                <w:szCs w:val="18"/>
              </w:rPr>
              <w:t xml:space="preserve">Limitation</w:t>
            </w:r>
          </w:p>
        </w:tc>
      </w:tr>
      <w:tr>
        <w:tc>
          <w:tcPr>
            <w:tcW w:type="dxa" w:w="1400"/>
          </w:tcPr>
          <w:p>
            <w:r>
              <w:rPr>
                <w:sz w:val="18"/>
                <w:szCs w:val="18"/>
              </w:rPr>
              <w:t xml:space="preserve">Schmidt et al. (2018)</w:t>
            </w:r>
          </w:p>
        </w:tc>
        <w:tc>
          <w:tcPr>
            <w:tcW w:type="dxa" w:w="1300"/>
          </w:tcPr>
          <w:p>
            <w:r>
              <w:rPr>
                <w:sz w:val="18"/>
                <w:szCs w:val="18"/>
              </w:rPr>
              <w:t xml:space="preserve">WESAD (introduced)</w:t>
            </w:r>
          </w:p>
        </w:tc>
        <w:tc>
          <w:tcPr>
            <w:tcW w:type="dxa" w:w="1600"/>
          </w:tcPr>
          <w:p>
            <w:r>
              <w:rPr>
                <w:sz w:val="18"/>
                <w:szCs w:val="18"/>
              </w:rPr>
              <w:t xml:space="preserve">Linear Discriminant Analysis (LDA)</w:t>
            </w:r>
          </w:p>
        </w:tc>
        <w:tc>
          <w:tcPr>
            <w:tcW w:type="dxa" w:w="1600"/>
          </w:tcPr>
          <w:p>
            <w:r>
              <w:rPr>
                <w:sz w:val="18"/>
                <w:szCs w:val="18"/>
              </w:rPr>
              <w:t xml:space="preserve">Not LOSO-specified</w:t>
            </w:r>
          </w:p>
        </w:tc>
        <w:tc>
          <w:tcPr>
            <w:tcW w:type="dxa" w:w="1200"/>
          </w:tcPr>
          <w:p>
            <w:r>
              <w:rPr>
                <w:sz w:val="18"/>
                <w:szCs w:val="18"/>
              </w:rPr>
              <w:t xml:space="preserve">93.12% accuracy (3-class)</w:t>
            </w:r>
          </w:p>
        </w:tc>
        <w:tc>
          <w:tcPr>
            <w:tcW w:type="dxa" w:w="2400"/>
          </w:tcPr>
          <w:p>
            <w:r>
              <w:rPr>
                <w:sz w:val="18"/>
                <w:szCs w:val="18"/>
              </w:rPr>
              <w:t xml:space="preserve">Established benchmark, but evaluation protocol less rigorous than LOSO; wrist EDA alone underperforms chest signals</w:t>
            </w:r>
          </w:p>
        </w:tc>
      </w:tr>
      <w:tr>
        <w:tc>
          <w:tcPr>
            <w:tcW w:type="dxa" w:w="1400"/>
          </w:tcPr>
          <w:p>
            <w:r>
              <w:rPr>
                <w:sz w:val="18"/>
                <w:szCs w:val="18"/>
              </w:rPr>
              <w:t xml:space="preserve">Gjoreski et al. (2017)</w:t>
            </w:r>
          </w:p>
        </w:tc>
        <w:tc>
          <w:tcPr>
            <w:tcW w:type="dxa" w:w="1300"/>
          </w:tcPr>
          <w:p>
            <w:r>
              <w:rPr>
                <w:sz w:val="18"/>
                <w:szCs w:val="18"/>
              </w:rPr>
              <w:t xml:space="preserve">Custom wearable dataset</w:t>
            </w:r>
          </w:p>
        </w:tc>
        <w:tc>
          <w:tcPr>
            <w:tcW w:type="dxa" w:w="1600"/>
          </w:tcPr>
          <w:p>
            <w:r>
              <w:rPr>
                <w:sz w:val="18"/>
                <w:szCs w:val="18"/>
              </w:rPr>
              <w:t xml:space="preserve">SVM, Random Forest, Gradient Boosting</w:t>
            </w:r>
          </w:p>
        </w:tc>
        <w:tc>
          <w:tcPr>
            <w:tcW w:type="dxa" w:w="1600"/>
          </w:tcPr>
          <w:p>
            <w:r>
              <w:rPr>
                <w:sz w:val="18"/>
                <w:szCs w:val="18"/>
              </w:rPr>
              <w:t xml:space="preserve">Held-out split</w:t>
            </w:r>
          </w:p>
        </w:tc>
        <w:tc>
          <w:tcPr>
            <w:tcW w:type="dxa" w:w="1200"/>
          </w:tcPr>
          <w:p>
            <w:r>
              <w:rPr>
                <w:sz w:val="18"/>
                <w:szCs w:val="18"/>
              </w:rPr>
              <w:t xml:space="preserve">RF with engineered features outperformed linear models</w:t>
            </w:r>
          </w:p>
        </w:tc>
        <w:tc>
          <w:tcPr>
            <w:tcW w:type="dxa" w:w="2400"/>
          </w:tcPr>
          <w:p>
            <w:r>
              <w:rPr>
                <w:sz w:val="18"/>
                <w:szCs w:val="18"/>
              </w:rPr>
              <w:t xml:space="preserve">Window length sensitivity not fully resolved; not tested on WESAD</w:t>
            </w:r>
          </w:p>
        </w:tc>
      </w:tr>
      <w:tr>
        <w:tc>
          <w:tcPr>
            <w:tcW w:type="dxa" w:w="1400"/>
          </w:tcPr>
          <w:p>
            <w:r>
              <w:rPr>
                <w:sz w:val="18"/>
                <w:szCs w:val="18"/>
              </w:rPr>
              <w:t xml:space="preserve">Sarkar &amp; Etemad (2020)</w:t>
            </w:r>
          </w:p>
        </w:tc>
        <w:tc>
          <w:tcPr>
            <w:tcW w:type="dxa" w:w="1300"/>
          </w:tcPr>
          <w:p>
            <w:r>
              <w:rPr>
                <w:sz w:val="18"/>
                <w:szCs w:val="18"/>
              </w:rPr>
              <w:t xml:space="preserve">Physiological time-series (self-supervised pretraining)</w:t>
            </w:r>
          </w:p>
        </w:tc>
        <w:tc>
          <w:tcPr>
            <w:tcW w:type="dxa" w:w="1600"/>
          </w:tcPr>
          <w:p>
            <w:r>
              <w:rPr>
                <w:sz w:val="18"/>
                <w:szCs w:val="18"/>
              </w:rPr>
              <w:t xml:space="preserve">LSTM (deep learning)</w:t>
            </w:r>
          </w:p>
        </w:tc>
        <w:tc>
          <w:tcPr>
            <w:tcW w:type="dxa" w:w="1600"/>
          </w:tcPr>
          <w:p>
            <w:r>
              <w:rPr>
                <w:sz w:val="18"/>
                <w:szCs w:val="18"/>
              </w:rPr>
              <w:t xml:space="preserve">Not LOSO-specified</w:t>
            </w:r>
          </w:p>
        </w:tc>
        <w:tc>
          <w:tcPr>
            <w:tcW w:type="dxa" w:w="1200"/>
          </w:tcPr>
          <w:p>
            <w:r>
              <w:rPr>
                <w:sz w:val="18"/>
                <w:szCs w:val="18"/>
              </w:rPr>
              <w:t xml:space="preserve">F1 up to 0.91</w:t>
            </w:r>
          </w:p>
        </w:tc>
        <w:tc>
          <w:tcPr>
            <w:tcW w:type="dxa" w:w="2400"/>
          </w:tcPr>
          <w:p>
            <w:r>
              <w:rPr>
                <w:sz w:val="18"/>
                <w:szCs w:val="18"/>
              </w:rPr>
              <w:t xml:space="preserve">Requires substantial labelled data; prone to overfitting on small datasets like WESAD (15 subjects)</w:t>
            </w:r>
          </w:p>
        </w:tc>
      </w:tr>
      <w:tr>
        <w:tc>
          <w:tcPr>
            <w:tcW w:type="dxa" w:w="1400"/>
          </w:tcPr>
          <w:p>
            <w:r>
              <w:rPr>
                <w:sz w:val="18"/>
                <w:szCs w:val="18"/>
              </w:rPr>
              <w:t xml:space="preserve">Siirtola &amp; Roning (2020)</w:t>
            </w:r>
          </w:p>
        </w:tc>
        <w:tc>
          <w:tcPr>
            <w:tcW w:type="dxa" w:w="1300"/>
          </w:tcPr>
          <w:p>
            <w:r>
              <w:rPr>
                <w:sz w:val="18"/>
                <w:szCs w:val="18"/>
              </w:rPr>
              <w:t xml:space="preserve">Wearable wristband stress data</w:t>
            </w:r>
          </w:p>
        </w:tc>
        <w:tc>
          <w:tcPr>
            <w:tcW w:type="dxa" w:w="1600"/>
          </w:tcPr>
          <w:p>
            <w:r>
              <w:rPr>
                <w:sz w:val="18"/>
                <w:szCs w:val="18"/>
              </w:rPr>
              <w:t xml:space="preserve">Person-dependent vs person-independent models</w:t>
            </w:r>
          </w:p>
        </w:tc>
        <w:tc>
          <w:tcPr>
            <w:tcW w:type="dxa" w:w="1600"/>
          </w:tcPr>
          <w:p>
            <w:r>
              <w:rPr>
                <w:sz w:val="18"/>
                <w:szCs w:val="18"/>
              </w:rPr>
              <w:t xml:space="preserve">Person-independent (cross-subject)</w:t>
            </w:r>
          </w:p>
        </w:tc>
        <w:tc>
          <w:tcPr>
            <w:tcW w:type="dxa" w:w="1200"/>
          </w:tcPr>
          <w:p>
            <w:r>
              <w:rPr>
                <w:sz w:val="18"/>
                <w:szCs w:val="18"/>
              </w:rPr>
              <w:t xml:space="preserve">Up to 18% F1 drop on unseen subjects</w:t>
            </w:r>
          </w:p>
        </w:tc>
        <w:tc>
          <w:tcPr>
            <w:tcW w:type="dxa" w:w="2400"/>
          </w:tcPr>
          <w:p>
            <w:r>
              <w:rPr>
                <w:sz w:val="18"/>
                <w:szCs w:val="18"/>
              </w:rPr>
              <w:t xml:space="preserve">Demonstrates severe generalisation challenge; motivates LOSO as necessary protocol</w:t>
            </w:r>
          </w:p>
        </w:tc>
      </w:tr>
      <w:tr>
        <w:tc>
          <w:tcPr>
            <w:tcW w:type="dxa" w:w="1400"/>
          </w:tcPr>
          <w:p>
            <w:r>
              <w:rPr>
                <w:sz w:val="18"/>
                <w:szCs w:val="18"/>
              </w:rPr>
              <w:t xml:space="preserve">Gedam &amp; Paul (2021)</w:t>
            </w:r>
          </w:p>
        </w:tc>
        <w:tc>
          <w:tcPr>
            <w:tcW w:type="dxa" w:w="1300"/>
          </w:tcPr>
          <w:p>
            <w:r>
              <w:rPr>
                <w:sz w:val="18"/>
                <w:szCs w:val="18"/>
              </w:rPr>
              <w:t xml:space="preserve">Systematic review (45 papers, 2016-2020)</w:t>
            </w:r>
          </w:p>
        </w:tc>
        <w:tc>
          <w:tcPr>
            <w:tcW w:type="dxa" w:w="1600"/>
          </w:tcPr>
          <w:p>
            <w:r>
              <w:rPr>
                <w:sz w:val="18"/>
                <w:szCs w:val="18"/>
              </w:rPr>
              <w:t xml:space="preserve">RF, SVM (traditional); CNN, LSTM (deep)</w:t>
            </w:r>
          </w:p>
        </w:tc>
        <w:tc>
          <w:tcPr>
            <w:tcW w:type="dxa" w:w="1600"/>
          </w:tcPr>
          <w:p>
            <w:r>
              <w:rPr>
                <w:sz w:val="18"/>
                <w:szCs w:val="18"/>
              </w:rPr>
              <w:t xml:space="preserve">Inconsistent across reviewed studies</w:t>
            </w:r>
          </w:p>
        </w:tc>
        <w:tc>
          <w:tcPr>
            <w:tcW w:type="dxa" w:w="1200"/>
          </w:tcPr>
          <w:p>
            <w:r>
              <w:rPr>
                <w:sz w:val="18"/>
                <w:szCs w:val="18"/>
              </w:rPr>
              <w:t xml:space="preserve">N/A (review)</w:t>
            </w:r>
          </w:p>
        </w:tc>
        <w:tc>
          <w:tcPr>
            <w:tcW w:type="dxa" w:w="2400"/>
          </w:tcPr>
          <w:p>
            <w:r>
              <w:rPr>
                <w:sz w:val="18"/>
                <w:szCs w:val="18"/>
              </w:rPr>
              <w:t xml:space="preserve">Most studies lack statistical significance testing; inconsistent evaluation protocols hinder cross-study comparison</w:t>
            </w:r>
          </w:p>
        </w:tc>
      </w:tr>
      <w:tr>
        <w:tc>
          <w:tcPr>
            <w:tcW w:type="dxa" w:w="1400"/>
          </w:tcPr>
          <w:p>
            <w:r>
              <w:rPr>
                <w:sz w:val="18"/>
                <w:szCs w:val="18"/>
              </w:rPr>
              <w:t xml:space="preserve">This project</w:t>
            </w:r>
          </w:p>
        </w:tc>
        <w:tc>
          <w:tcPr>
            <w:tcW w:type="dxa" w:w="1300"/>
          </w:tcPr>
          <w:p>
            <w:r>
              <w:rPr>
                <w:sz w:val="18"/>
                <w:szCs w:val="18"/>
              </w:rPr>
              <w:t xml:space="preserve">WESAD</w:t>
            </w:r>
          </w:p>
        </w:tc>
        <w:tc>
          <w:tcPr>
            <w:tcW w:type="dxa" w:w="1600"/>
          </w:tcPr>
          <w:p>
            <w:r>
              <w:rPr>
                <w:sz w:val="18"/>
                <w:szCs w:val="18"/>
              </w:rPr>
              <w:t xml:space="preserve">Random Forest, XGBoost, LSTM</w:t>
            </w:r>
          </w:p>
        </w:tc>
        <w:tc>
          <w:tcPr>
            <w:tcW w:type="dxa" w:w="1600"/>
          </w:tcPr>
          <w:p>
            <w:r>
              <w:rPr>
                <w:sz w:val="18"/>
                <w:szCs w:val="18"/>
              </w:rPr>
              <w:t xml:space="preserve">Leave-One-Subject-Out (LOSO), Wilcoxon signed-rank test</w:t>
            </w:r>
          </w:p>
        </w:tc>
        <w:tc>
          <w:tcPr>
            <w:tcW w:type="dxa" w:w="1200"/>
          </w:tcPr>
          <w:p>
            <w:r>
              <w:rPr>
                <w:sz w:val="18"/>
                <w:szCs w:val="18"/>
              </w:rPr>
              <w:t xml:space="preserve">XGBoost: 0.785 acc / 0.650 F1-macro</w:t>
            </w:r>
          </w:p>
        </w:tc>
        <w:tc>
          <w:tcPr>
            <w:tcW w:type="dxa" w:w="2400"/>
          </w:tcPr>
          <w:p>
            <w:r>
              <w:rPr>
                <w:sz w:val="18"/>
                <w:szCs w:val="18"/>
              </w:rPr>
              <w:t xml:space="preserve">Single dataset (WESAD only); no formal hyperparameter search (grid search/Keras Tuner) conducted within project timeline; SUS usability study substituted with informal testing pending ethics approval</w:t>
            </w:r>
          </w:p>
        </w:tc>
      </w:tr>
    </w:tbl>
    <w:p>
      <w:pPr>
        <w:spacing w:after="300" w:before="150"/>
      </w:pPr>
      <w:r>
        <w:rPr>
          <w:i/>
          <w:iCs/>
          <w:sz w:val="18"/>
          <w:szCs w:val="18"/>
        </w:rPr>
        <w:t xml:space="preserve">Table 0: Comparison of prior work on wearable stress detection against this project's approach.</w:t>
      </w:r>
    </w:p>
    <w:p>
      <w:pPr>
        <w:spacing w:after="200"/>
      </w:pPr>
      <w:r>
        <w:rPr>
          <w:sz w:val="22"/>
          <w:szCs w:val="22"/>
        </w:rPr>
        <w:t xml:space="preserve">The reviewed literature reveals a consistent gap: no prior study systematically compares Random Forest, XGBoost, and LSTM on WESAD under a uniform LOSO protocol with statistical significance testing, nor deploys the best-performing model in a measured, real-time web application. This project addresses that gap directly, while also surfacing two genuine deviations from its own proposed methodology, disclosed transparently: formal hyperparameter optimisation (grid search / Keras Tuner) was not conducted within the available project timeline, and the planned System Usability Scale evaluation was substituted with informal and functional testing pending university ethics approval. Both are discussed further in the Limitations and Future Work section.</w:t>
      </w:r>
    </w:p>
    <w:sectPr>
      <w:pgSz w:w="11906" w:h="16838" w:orient="portrait"/>
      <w:pgMar w:top="1440" w:right="700" w:bottom="144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2026-07-02T19:17:53.291Z</dcterms:created>
  <dcterms:modified xsi:type="dcterms:W3CDTF">2026-07-02T19:17:53.306Z</dcterms:modified>
</cp:coreProperties>
</file>

<file path=docProps/custom.xml><?xml version="1.0" encoding="utf-8"?>
<Properties xmlns="http://schemas.openxmlformats.org/officeDocument/2006/custom-properties" xmlns:vt="http://schemas.openxmlformats.org/officeDocument/2006/docPropsVTypes"/>
</file>