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3. Methodology</w:t>
      </w:r>
    </w:p>
    <w:p>
      <w:pPr>
        <w:pStyle w:val="Heading2"/>
        <w:spacing w:before="200"/>
      </w:pPr>
      <w:r>
        <w:t xml:space="preserve">3.1 Dataset</w:t>
      </w:r>
    </w:p>
    <w:p>
      <w:pPr>
        <w:spacing w:after="200"/>
      </w:pPr>
      <w:r>
        <w:rPr>
          <w:sz w:val="22"/>
          <w:szCs w:val="22"/>
        </w:rPr>
        <w:t xml:space="preserve">This project uses the WESAD (Wearable Stress and Affect Detection) dataset [1], comprising physiological signals from 15 subjects (S2-S17, excluding S1 and S12 per the original dataset release) recorded via chest-worn (RespiBAN, 700Hz: ECG, EDA, EMG, Temperature, Respiration, three-axis acceleration) and wrist-worn (Empatica E4) devices during a laboratory protocol inducing Baseline, Stress, and Amusement affective states. This project uses the chest-worn signal set exclusively, consistent with the proposal's scope. Three affective classes were retained (Baseline, Stress, Amusement), with transient and meditation-condition labels dropped, following Schmidt et al.'s [1] labelling protocol.</w:t>
      </w:r>
    </w:p>
    <w:p>
      <w:pPr>
        <w:pStyle w:val="Heading2"/>
        <w:spacing w:before="300"/>
      </w:pPr>
      <w:r>
        <w:t xml:space="preserve">3.2 Preprocessing and Feature Extraction</w:t>
      </w:r>
    </w:p>
    <w:p>
      <w:pPr>
        <w:spacing w:after="200"/>
      </w:pPr>
      <w:r>
        <w:rPr>
          <w:sz w:val="22"/>
          <w:szCs w:val="22"/>
        </w:rPr>
        <w:t xml:space="preserve">Each chest signal channel was bandpass-filtered using a third-order Butterworth filter with channel-appropriate cutoff frequencies (ECG: 0.5-40Hz; EMG: 20-250Hz; Respiration: 0.1-0.35Hz), applied via zero-phase filtering (filtfilt) to avoid phase distortion. Signals were segmented into 60-second windows with 50% overlap, with each window assigned the majority label across its span; windows without a majority Baseline, Stress, or Amusement label were discarded. For Random Forest and XGBoost, each windowed channel was reduced to nine statistical, time-domain, and frequency-domain features (mean, standard deviation, min, max, skewness, kurtosis, zero-crossing rate, peak frequency, and mean power spectral density via Welch's method), yielding a 45-dimensional feature vector (5 channels x 9 features) per window. For the LSTM, raw normalised signal sequences were retained per window and downsampled by a factor of 100 (from 42,000 to 420 timesteps per window) for computational tractability. This pipeline produced 1,105 total windows across all 15 subjects (587 Baseline, 332 Stress, 186 Amusement).</w:t>
      </w:r>
    </w:p>
    <w:p>
      <w:pPr>
        <w:pStyle w:val="Heading2"/>
        <w:spacing w:before="300"/>
      </w:pPr>
      <w:r>
        <w:t xml:space="preserve">3.3 Preprocessing Correction</w:t>
      </w:r>
    </w:p>
    <w:p>
      <w:pPr>
        <w:spacing w:after="200"/>
      </w:pPr>
      <w:r>
        <w:rPr>
          <w:sz w:val="22"/>
          <w:szCs w:val="22"/>
        </w:rPr>
        <w:t xml:space="preserve">During pipeline validation, systematic NaN values were identified in all Respiration-derived statistical features. Root-cause analysis attributed this to numerical instability in the Butterworth filter's transfer-function ('ba') coefficient representation for the narrow Respiration passband (0.1-0.35Hz) relative to the 700Hz sampling rate's Nyquist frequency. The filter was reformulated using second-order sections (SOS), which is numerically stable for this configuration, and the full pipeline was re-run. This correction is detailed further, with its measured performance impact, in Section 4.0.</w:t>
      </w:r>
    </w:p>
    <w:p>
      <w:pPr>
        <w:pStyle w:val="Heading2"/>
        <w:spacing w:before="300"/>
      </w:pPr>
      <w:r>
        <w:t xml:space="preserve">3.4 Model Architectures and Training</w:t>
      </w:r>
    </w:p>
    <w:p>
      <w:pPr>
        <w:spacing w:after="100"/>
      </w:pPr>
      <w:r>
        <w:rPr>
          <w:sz w:val="22"/>
          <w:szCs w:val="22"/>
        </w:rPr>
        <w:t xml:space="preserve">Three candidate models were implemented: Random Forest and XGBoost (scikit-learn and xgboost libraries respectively) operating on the 45-dimensional engineered feature vectors, and a two-layer LSTM (Keras/TensorFlow) operating on raw downsampled sequences, with dropout (0.3) between layers and class-weighted loss (computed via sklearn's balanced class-weighting) to address the moderate class imbalance (53% Baseline, 30% Stress, 17% Amusement). Table 6 details the hyperparameters used for each model.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6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7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Hyperparameters used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700"/>
          </w:tcPr>
          <w:p>
            <w:r>
              <w:rPr>
                <w:sz w:val="20"/>
                <w:szCs w:val="20"/>
              </w:rPr>
              <w:t xml:space="preserve">n_estimators=300, max_depth=15, random_state=42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Common defaults for tabular physiological feature sets in prior literature; not tuned via grid search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XGBoost</w:t>
            </w:r>
          </w:p>
        </w:tc>
        <w:tc>
          <w:tcPr>
            <w:tcW w:type="dxa" w:w="3700"/>
          </w:tcPr>
          <w:p>
            <w:r>
              <w:rPr>
                <w:sz w:val="20"/>
                <w:szCs w:val="20"/>
              </w:rPr>
              <w:t xml:space="preserve">n_estimators=300, max_depth=6, learning_rate=0.1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XGBoost library defaults with minor adjustment; not tuned via grid search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LSTM</w:t>
            </w:r>
          </w:p>
        </w:tc>
        <w:tc>
          <w:tcPr>
            <w:tcW w:type="dxa" w:w="3700"/>
          </w:tcPr>
          <w:p>
            <w:r>
              <w:rPr>
                <w:sz w:val="20"/>
                <w:szCs w:val="20"/>
              </w:rPr>
              <w:t xml:space="preserve">2-layer LSTM, 32 units/layer, dropout 0.3, Adam optimiser, early stopping (patience=5), class-weighted loss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Simple architecture matching proposal's 1-2 layer, 64-128 unit search range; not tuned via Keras Tuner</w:t>
            </w:r>
          </w:p>
        </w:tc>
      </w:tr>
    </w:tbl>
    <w:p>
      <w:pPr>
        <w:spacing w:after="250" w:before="150"/>
      </w:pPr>
      <w:r>
        <w:rPr>
          <w:i/>
          <w:iCs/>
          <w:sz w:val="18"/>
          <w:szCs w:val="18"/>
        </w:rPr>
        <w:t xml:space="preserve">Table 6: Hyperparameters used for each model.</w:t>
      </w:r>
    </w:p>
    <w:p>
      <w:pPr>
        <w:spacing w:after="300"/>
      </w:pPr>
      <w:r>
        <w:rPr>
          <w:sz w:val="22"/>
          <w:szCs w:val="22"/>
        </w:rPr>
        <w:t xml:space="preserve">The project proposal specified formal hyperparameter optimisation via grid search (Random Forest, XGBoost) and Keras Tuner (LSTM). Due to project timeline constraints, this formal search was not conducted; instead, literature-informed fixed hyperparameters were used across all three models. This is disclosed as a limitation in Section 6 and represents a legitimate simplification anticipated by the project's own risk register, which noted that nested hyperparameter search within LOSO cross-validation is computationally expensive and that a single fixed-parameter run was an acceptable fallback if time-constrained.</w:t>
      </w:r>
    </w:p>
    <w:p>
      <w:pPr>
        <w:pStyle w:val="Heading2"/>
        <w:spacing w:before="300"/>
      </w:pPr>
      <w:r>
        <w:t xml:space="preserve">3.5 Evaluation Protocol</w:t>
      </w:r>
    </w:p>
    <w:p>
      <w:pPr>
        <w:spacing w:after="200"/>
      </w:pPr>
      <w:r>
        <w:rPr>
          <w:sz w:val="22"/>
          <w:szCs w:val="22"/>
        </w:rPr>
        <w:t xml:space="preserve">All models were evaluated using Leave-One-Subject-Out (LOSO) cross-validation: for each of the 15 subjects, a model was trained on the remaining 14 subjects and tested on the held-out subject, repeated for all 15 subjects. This protocol was chosen specifically to measure cross-subject generalisation, which is the primary practical requirement for a deployable stress-detection system that must work on users unseen during training, and is consistent with Siirtola and Roning's [4] finding that person-independent evaluation reveals substantially larger performance drops than person-dependent evaluation. Accuracy, precision, recall, and macro-averaged F1-score were computed per fold and averaged across all 15 folds. Statistical significance of pairwise model differences was assessed using the Wilcoxon signed-rank test on matched per-subject scores, with matched-pairs rank-biserial correlation computed as an effect size measure. Full results are reported in Section 4.</w:t>
      </w:r>
    </w:p>
    <w:p>
      <w:pPr>
        <w:pStyle w:val="Heading2"/>
        <w:spacing w:before="300"/>
      </w:pPr>
      <w:r>
        <w:t xml:space="preserve">3.6 Deployment Methodology</w:t>
      </w:r>
    </w:p>
    <w:p>
      <w:pPr>
        <w:spacing w:after="200"/>
      </w:pPr>
      <w:r>
        <w:rPr>
          <w:sz w:val="22"/>
          <w:szCs w:val="22"/>
        </w:rPr>
        <w:t xml:space="preserve">The best-performing model by the combined criteria of predictive accuracy and inference latency was serialised and deployed behind a Flask REST API, with a React-based frontend dashboard consuming that API to demonstrate real-time prediction on sample sensor windows. Full implementation and testing details are reported in Section 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2026-07-02T21:53:21.766Z</dcterms:created>
  <dcterms:modified xsi:type="dcterms:W3CDTF">2026-07-02T21:53:21.781Z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