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Section 1 Collision Coverage</w:t>
      </w:r>
    </w:p>
    <w:p>
      <w:r>
        <w:t>Deductible 500 on 2026-01-01</w:t>
      </w:r>
    </w:p>
    <w:p>
      <w:r>
        <w:br w:type="page"/>
      </w:r>
    </w:p>
    <w:p>
      <w:r>
        <w:t>Section 2 Liability</w:t>
      </w:r>
    </w:p>
    <w:p>
      <w:r>
        <w:t>Limit 100000</w:t>
      </w:r>
    </w:p>
  </w:body>
</w:document>
</file>