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jc w:val="right"/>
        <w:bidi/>
      </w:pPr>
      <w:r>
        <w:rPr>
          <w:b/>
          <w:color w:val="2C5F44"/>
          <w:sz w:val="56"/>
        </w:rPr>
        <w:t>وثيقة متطلبات الأعمال</w:t>
      </w:r>
    </w:p>
    <w:p>
      <w:pPr>
        <w:spacing w:after="800"/>
        <w:jc w:val="right"/>
        <w:bidi/>
      </w:pPr>
      <w:r>
        <w:rPr>
          <w:color w:val="586473"/>
          <w:sz w:val="28"/>
        </w:rPr>
        <w:t>Business Requirements Document</w:t>
      </w:r>
    </w:p>
    <w:p>
      <w:pPr>
        <w:spacing w:after="120"/>
        <w:jc w:val="right"/>
        <w:bidi/>
      </w:pPr>
      <w:r>
        <w:rPr>
          <w:b/>
          <w:color w:val="2C5F44"/>
          <w:sz w:val="84"/>
        </w:rPr>
        <w:t>منصة مُقسِّط</w:t>
      </w:r>
    </w:p>
    <w:p>
      <w:pPr>
        <w:spacing w:after="1200"/>
        <w:jc w:val="center"/>
      </w:pPr>
      <w:r>
        <w:rPr>
          <w:color w:val="586473"/>
          <w:sz w:val="40"/>
        </w:rPr>
        <w:t>Muqsit Platform</w:t>
      </w:r>
    </w:p>
    <w:p>
      <w:pPr>
        <w:spacing w:after="1600"/>
        <w:jc w:val="right"/>
        <w:bidi/>
      </w:pPr>
      <w:r>
        <w:rPr>
          <w:color w:val="1A2433"/>
          <w:sz w:val="26"/>
        </w:rPr>
        <w:t>منصة تشغيلية متكاملة لمكاتب التقسيط في المملكة العربية السعودية</w:t>
      </w:r>
    </w:p>
    <w:p>
      <w:pPr>
        <w:jc w:val="right"/>
        <w:bidi/>
      </w:pPr>
      <w:r>
        <w:rPr>
          <w:color w:val="586473"/>
          <w:sz w:val="22"/>
        </w:rPr>
        <w:t>الإصدار 1.0  ·  2026-06-09</w:t>
      </w:r>
    </w:p>
    <w:p>
      <w:r>
        <w:br w:type="page"/>
      </w:r>
    </w:p>
    <w:p>
      <w:pPr>
        <w:spacing w:before="360" w:after="120"/>
        <w:jc w:val="right"/>
        <w:bidi/>
      </w:pPr>
      <w:r>
        <w:rPr>
          <w:b/>
          <w:color w:val="2C5F44"/>
          <w:sz w:val="40"/>
        </w:rPr>
        <w:t>جدول المحتويات</w:t>
      </w:r>
    </w:p>
    <w:p>
      <w:pPr>
        <w:pStyle w:val="ListBullet"/>
        <w:bidi/>
        <w:spacing w:after="40"/>
        <w:ind w:left="454" w:right="454"/>
        <w:jc w:val="right"/>
      </w:pPr>
      <w:r>
        <w:rPr>
          <w:sz w:val="22"/>
        </w:rPr>
        <w:t>١.  الملخص التنفيذي</w:t>
      </w:r>
    </w:p>
    <w:p>
      <w:pPr>
        <w:pStyle w:val="ListBullet"/>
        <w:bidi/>
        <w:spacing w:after="40"/>
        <w:ind w:left="454" w:right="454"/>
        <w:jc w:val="right"/>
      </w:pPr>
      <w:r>
        <w:rPr>
          <w:sz w:val="22"/>
        </w:rPr>
        <w:t>٢.  سياق الأعمال والأهداف</w:t>
      </w:r>
    </w:p>
    <w:p>
      <w:pPr>
        <w:pStyle w:val="ListBullet"/>
        <w:bidi/>
        <w:spacing w:after="40"/>
        <w:ind w:left="454" w:right="454"/>
        <w:jc w:val="right"/>
      </w:pPr>
      <w:r>
        <w:rPr>
          <w:sz w:val="22"/>
        </w:rPr>
        <w:t>٣.  المستخدمون المستهدفون</w:t>
      </w:r>
    </w:p>
    <w:p>
      <w:pPr>
        <w:pStyle w:val="ListBullet"/>
        <w:bidi/>
        <w:spacing w:after="40"/>
        <w:ind w:left="454" w:right="454"/>
        <w:jc w:val="right"/>
      </w:pPr>
      <w:r>
        <w:rPr>
          <w:sz w:val="22"/>
        </w:rPr>
        <w:t>٤.  مبادئ المنتج</w:t>
      </w:r>
    </w:p>
    <w:p>
      <w:pPr>
        <w:pStyle w:val="ListBullet"/>
        <w:bidi/>
        <w:spacing w:after="40"/>
        <w:ind w:left="454" w:right="454"/>
        <w:jc w:val="right"/>
      </w:pPr>
      <w:r>
        <w:rPr>
          <w:sz w:val="22"/>
        </w:rPr>
        <w:t>٥.  النطاق العام</w:t>
      </w:r>
    </w:p>
    <w:p>
      <w:pPr>
        <w:pStyle w:val="ListBullet"/>
        <w:bidi/>
        <w:spacing w:after="40"/>
        <w:ind w:left="454" w:right="454"/>
        <w:jc w:val="right"/>
      </w:pPr>
      <w:r>
        <w:rPr>
          <w:sz w:val="22"/>
        </w:rPr>
        <w:t>٦.  المتطلبات الوظيفية</w:t>
      </w:r>
    </w:p>
    <w:p>
      <w:pPr>
        <w:pStyle w:val="ListBullet"/>
        <w:bidi/>
        <w:spacing w:after="40"/>
        <w:ind w:left="454" w:right="454"/>
        <w:jc w:val="right"/>
      </w:pPr>
      <w:r>
        <w:rPr>
          <w:sz w:val="22"/>
        </w:rPr>
        <w:t xml:space="preserve">      ٦.١  لوحة العمليات</w:t>
      </w:r>
    </w:p>
    <w:p>
      <w:pPr>
        <w:pStyle w:val="ListBullet"/>
        <w:bidi/>
        <w:spacing w:after="40"/>
        <w:ind w:left="454" w:right="454"/>
        <w:jc w:val="right"/>
      </w:pPr>
      <w:r>
        <w:rPr>
          <w:sz w:val="22"/>
        </w:rPr>
        <w:t xml:space="preserve">      ٦.٢  المستثمرون</w:t>
      </w:r>
    </w:p>
    <w:p>
      <w:pPr>
        <w:pStyle w:val="ListBullet"/>
        <w:bidi/>
        <w:spacing w:after="40"/>
        <w:ind w:left="454" w:right="454"/>
        <w:jc w:val="right"/>
      </w:pPr>
      <w:r>
        <w:rPr>
          <w:sz w:val="22"/>
        </w:rPr>
        <w:t xml:space="preserve">      ٦.٣  عقود الاستثمار</w:t>
      </w:r>
    </w:p>
    <w:p>
      <w:pPr>
        <w:pStyle w:val="ListBullet"/>
        <w:bidi/>
        <w:spacing w:after="40"/>
        <w:ind w:left="454" w:right="454"/>
        <w:jc w:val="right"/>
      </w:pPr>
      <w:r>
        <w:rPr>
          <w:sz w:val="22"/>
        </w:rPr>
        <w:t xml:space="preserve">      ٦.٤  العملاء</w:t>
      </w:r>
    </w:p>
    <w:p>
      <w:pPr>
        <w:pStyle w:val="ListBullet"/>
        <w:bidi/>
        <w:spacing w:after="40"/>
        <w:ind w:left="454" w:right="454"/>
        <w:jc w:val="right"/>
      </w:pPr>
      <w:r>
        <w:rPr>
          <w:sz w:val="22"/>
        </w:rPr>
        <w:t xml:space="preserve">      ٦.٥  عقود التقسيط</w:t>
      </w:r>
    </w:p>
    <w:p>
      <w:pPr>
        <w:pStyle w:val="ListBullet"/>
        <w:bidi/>
        <w:spacing w:after="40"/>
        <w:ind w:left="454" w:right="454"/>
        <w:jc w:val="right"/>
      </w:pPr>
      <w:r>
        <w:rPr>
          <w:sz w:val="22"/>
        </w:rPr>
        <w:t xml:space="preserve">      ٦.٦  التحصيلات</w:t>
      </w:r>
    </w:p>
    <w:p>
      <w:pPr>
        <w:pStyle w:val="ListBullet"/>
        <w:bidi/>
        <w:spacing w:after="40"/>
        <w:ind w:left="454" w:right="454"/>
        <w:jc w:val="right"/>
      </w:pPr>
      <w:r>
        <w:rPr>
          <w:sz w:val="22"/>
        </w:rPr>
        <w:t xml:space="preserve">      ٦.٧  السندات (سندات القبض والصرف)</w:t>
      </w:r>
    </w:p>
    <w:p>
      <w:pPr>
        <w:pStyle w:val="ListBullet"/>
        <w:bidi/>
        <w:spacing w:after="40"/>
        <w:ind w:left="454" w:right="454"/>
        <w:jc w:val="right"/>
      </w:pPr>
      <w:r>
        <w:rPr>
          <w:sz w:val="22"/>
        </w:rPr>
        <w:t xml:space="preserve">      ٦.٨  توزيع الأرباح</w:t>
      </w:r>
    </w:p>
    <w:p>
      <w:pPr>
        <w:pStyle w:val="ListBullet"/>
        <w:bidi/>
        <w:spacing w:after="40"/>
        <w:ind w:left="454" w:right="454"/>
        <w:jc w:val="right"/>
      </w:pPr>
      <w:r>
        <w:rPr>
          <w:sz w:val="22"/>
        </w:rPr>
        <w:t xml:space="preserve">      ٦.٩  الموافقات</w:t>
      </w:r>
    </w:p>
    <w:p>
      <w:pPr>
        <w:pStyle w:val="ListBullet"/>
        <w:bidi/>
        <w:spacing w:after="40"/>
        <w:ind w:left="454" w:right="454"/>
        <w:jc w:val="right"/>
      </w:pPr>
      <w:r>
        <w:rPr>
          <w:sz w:val="22"/>
        </w:rPr>
        <w:t xml:space="preserve">      ٦.١٠  الأدوار والصلاحيات</w:t>
      </w:r>
    </w:p>
    <w:p>
      <w:pPr>
        <w:pStyle w:val="ListBullet"/>
        <w:bidi/>
        <w:spacing w:after="40"/>
        <w:ind w:left="454" w:right="454"/>
        <w:jc w:val="right"/>
      </w:pPr>
      <w:r>
        <w:rPr>
          <w:sz w:val="22"/>
        </w:rPr>
        <w:t xml:space="preserve">      ٦.١١  الإشعارات والتنبيهات</w:t>
      </w:r>
    </w:p>
    <w:p>
      <w:pPr>
        <w:pStyle w:val="ListBullet"/>
        <w:bidi/>
        <w:spacing w:after="40"/>
        <w:ind w:left="454" w:right="454"/>
        <w:jc w:val="right"/>
      </w:pPr>
      <w:r>
        <w:rPr>
          <w:sz w:val="22"/>
        </w:rPr>
        <w:t xml:space="preserve">      ٦.١٢  سجل العمليات</w:t>
      </w:r>
    </w:p>
    <w:p>
      <w:pPr>
        <w:pStyle w:val="ListBullet"/>
        <w:bidi/>
        <w:spacing w:after="40"/>
        <w:ind w:left="454" w:right="454"/>
        <w:jc w:val="right"/>
      </w:pPr>
      <w:r>
        <w:rPr>
          <w:sz w:val="22"/>
        </w:rPr>
        <w:t xml:space="preserve">      ٦.١٣  إعدادات المكتب</w:t>
      </w:r>
    </w:p>
    <w:p>
      <w:pPr>
        <w:pStyle w:val="ListBullet"/>
        <w:bidi/>
        <w:spacing w:after="40"/>
        <w:ind w:left="454" w:right="454"/>
        <w:jc w:val="right"/>
      </w:pPr>
      <w:r>
        <w:rPr>
          <w:sz w:val="22"/>
        </w:rPr>
        <w:t xml:space="preserve">      ٦.١٤  البوابات (المستثمر والعميل)</w:t>
      </w:r>
    </w:p>
    <w:p>
      <w:pPr>
        <w:pStyle w:val="ListBullet"/>
        <w:bidi/>
        <w:spacing w:after="40"/>
        <w:ind w:left="454" w:right="454"/>
        <w:jc w:val="right"/>
      </w:pPr>
      <w:r>
        <w:rPr>
          <w:sz w:val="22"/>
        </w:rPr>
        <w:t xml:space="preserve">      ٦.١٥  الانتقال إلى مُقسِّط</w:t>
      </w:r>
    </w:p>
    <w:p>
      <w:pPr>
        <w:pStyle w:val="ListBullet"/>
        <w:bidi/>
        <w:spacing w:after="40"/>
        <w:ind w:left="454" w:right="454"/>
        <w:jc w:val="right"/>
      </w:pPr>
      <w:r>
        <w:rPr>
          <w:sz w:val="22"/>
        </w:rPr>
        <w:t>٧.  النموذج البياني</w:t>
      </w:r>
    </w:p>
    <w:p>
      <w:pPr>
        <w:pStyle w:val="ListBullet"/>
        <w:bidi/>
        <w:spacing w:after="40"/>
        <w:ind w:left="454" w:right="454"/>
        <w:jc w:val="right"/>
      </w:pPr>
      <w:r>
        <w:rPr>
          <w:sz w:val="22"/>
        </w:rPr>
        <w:t>٨.  رحلات المستخدم الرئيسية</w:t>
      </w:r>
    </w:p>
    <w:p>
      <w:pPr>
        <w:pStyle w:val="ListBullet"/>
        <w:bidi/>
        <w:spacing w:after="40"/>
        <w:ind w:left="454" w:right="454"/>
        <w:jc w:val="right"/>
      </w:pPr>
      <w:r>
        <w:rPr>
          <w:sz w:val="22"/>
        </w:rPr>
        <w:t>٩.  المتطلبات غير الوظيفية</w:t>
      </w:r>
    </w:p>
    <w:p>
      <w:pPr>
        <w:pStyle w:val="ListBullet"/>
        <w:bidi/>
        <w:spacing w:after="40"/>
        <w:ind w:left="454" w:right="454"/>
        <w:jc w:val="right"/>
      </w:pPr>
      <w:r>
        <w:rPr>
          <w:sz w:val="22"/>
        </w:rPr>
        <w:t>١٠.  خارج النطاق</w:t>
      </w:r>
    </w:p>
    <w:p>
      <w:pPr>
        <w:pStyle w:val="ListBullet"/>
        <w:bidi/>
        <w:spacing w:after="40"/>
        <w:ind w:left="454" w:right="454"/>
        <w:jc w:val="right"/>
      </w:pPr>
      <w:r>
        <w:rPr>
          <w:sz w:val="22"/>
        </w:rPr>
        <w:t>١١.  سجل السبرنتات</w:t>
      </w:r>
    </w:p>
    <w:p>
      <w:pPr>
        <w:pStyle w:val="ListBullet"/>
        <w:bidi/>
        <w:spacing w:after="40"/>
        <w:ind w:left="454" w:right="454"/>
        <w:jc w:val="right"/>
      </w:pPr>
      <w:r>
        <w:rPr>
          <w:sz w:val="22"/>
        </w:rPr>
        <w:t>١٢.  المصطلحات</w:t>
      </w:r>
    </w:p>
    <w:p>
      <w:r>
        <w:br w:type="page"/>
      </w:r>
    </w:p>
    <w:p>
      <w:pPr>
        <w:spacing w:before="360" w:after="120"/>
        <w:jc w:val="right"/>
        <w:bidi/>
      </w:pPr>
      <w:r>
        <w:rPr>
          <w:b/>
          <w:color w:val="2C5F44"/>
          <w:sz w:val="40"/>
        </w:rPr>
        <w:t>١. الملخص التنفيذي</w:t>
      </w:r>
    </w:p>
    <w:p>
      <w:pPr>
        <w:bidi/>
        <w:spacing w:after="80" w:line="336" w:lineRule="auto"/>
        <w:jc w:val="right"/>
      </w:pPr>
      <w:r>
        <w:rPr>
          <w:b w:val="0"/>
          <w:i w:val="0"/>
          <w:sz w:val="22"/>
        </w:rPr>
        <w:t>مُقسِّط منصة تشغيلية رقمية مصممة خصيصاً لمكاتب التقسيط في المملكة العربية السعودية. تتيح للمكتب إدارة كامل دورة الأعمال — من علاقة المستثمر بالمكتب، إلى بيع البضاعة بالتقسيط للعملاء، إلى تحصيل الأقساط، إلى توزيع الأرباح آلياً — كل ذلك بأرقام دائرية وواجهة عربية أصيلة بسيطة.</w:t>
      </w:r>
    </w:p>
    <w:p>
      <w:pPr>
        <w:bidi/>
        <w:spacing w:after="80" w:line="336" w:lineRule="auto"/>
        <w:jc w:val="right"/>
      </w:pPr>
      <w:r>
        <w:rPr>
          <w:b w:val="0"/>
          <w:i w:val="0"/>
          <w:sz w:val="22"/>
        </w:rPr>
        <w:t>المنصة مبنية على مبدأ أساسي واحد: التركيز على العمليات اليومية لمكتب التقسيط، وليس على المحاسبة. الموظف لا يحتاج معرفة محاسبية، ولا يرى دفتر حسابات عام، ولا قيود مزدوجة، ولا قائمة دخل. يرى فقط ما يحتاجه ليدير عمله: أرصدة، تحصيلات، أرباح، وعقود.</w:t>
      </w:r>
    </w:p>
    <w:p>
      <w:pPr>
        <w:bidi/>
        <w:spacing w:after="80" w:line="336" w:lineRule="auto"/>
        <w:jc w:val="right"/>
      </w:pPr>
      <w:r>
        <w:rPr>
          <w:b w:val="0"/>
          <w:i w:val="0"/>
          <w:sz w:val="22"/>
        </w:rPr>
        <w:t>تستهدف المنصة فئة محددة من المكاتب: تلك التي تتعامل بنظام التقسيط ولديها مستثمرون يموّلون البضائع. الواجهة عربية أولاً (RTL)، بطابع بنكي سعودي حديث (أخضر مالي ناعم، أبيض دافئ، ذهبي خفيف).</w:t>
      </w:r>
    </w:p>
    <w:p>
      <w:pPr>
        <w:spacing w:before="240" w:after="80"/>
        <w:jc w:val="right"/>
        <w:bidi/>
      </w:pPr>
      <w:r>
        <w:rPr>
          <w:b/>
          <w:color w:val="2C5F44"/>
          <w:sz w:val="28"/>
        </w:rPr>
        <w:t>الأبعاد الرئيسية للمشروع</w:t>
      </w:r>
    </w:p>
    <w:tbl>
      <w:tblPr>
        <w:tblStyle w:val="LightGrid-Accent1"/>
        <w:tblW w:type="auto" w:w="0"/>
        <w:tblLook w:firstColumn="1" w:firstRow="1" w:lastColumn="0" w:lastRow="0" w:noHBand="0" w:noVBand="1" w:val="04A0"/>
      </w:tblPr>
      <w:tblGrid>
        <w:gridCol w:w="4986"/>
        <w:gridCol w:w="4986"/>
      </w:tblGrid>
      <w:tr>
        <w:tc>
          <w:tcPr>
            <w:tcW w:type="dxa" w:w="4986"/>
          </w:tcPr>
          <w:p>
            <w:pPr>
              <w:bidi/>
              <w:jc w:val="right"/>
            </w:pPr>
            <w:r/>
            <w:r>
              <w:rPr>
                <w:b/>
                <w:sz w:val="21"/>
              </w:rPr>
              <w:t>السوق المستهدف</w:t>
            </w:r>
          </w:p>
        </w:tc>
        <w:tc>
          <w:tcPr>
            <w:tcW w:type="dxa" w:w="4986"/>
          </w:tcPr>
          <w:p>
            <w:pPr>
              <w:bidi/>
              <w:jc w:val="right"/>
            </w:pPr>
            <w:r/>
            <w:r>
              <w:rPr>
                <w:sz w:val="21"/>
              </w:rPr>
              <w:t>مكاتب التقسيط في المملكة العربية السعودية</w:t>
            </w:r>
          </w:p>
        </w:tc>
      </w:tr>
      <w:tr>
        <w:tc>
          <w:tcPr>
            <w:tcW w:type="dxa" w:w="4986"/>
          </w:tcPr>
          <w:p>
            <w:pPr>
              <w:bidi/>
              <w:jc w:val="right"/>
            </w:pPr>
            <w:r/>
            <w:r>
              <w:rPr>
                <w:b/>
                <w:sz w:val="21"/>
              </w:rPr>
              <w:t>المستخدم النموذجي</w:t>
            </w:r>
          </w:p>
        </w:tc>
        <w:tc>
          <w:tcPr>
            <w:tcW w:type="dxa" w:w="4986"/>
          </w:tcPr>
          <w:p>
            <w:pPr>
              <w:bidi/>
              <w:jc w:val="right"/>
            </w:pPr>
            <w:r/>
            <w:r>
              <w:rPr>
                <w:sz w:val="21"/>
              </w:rPr>
              <w:t>مدير مكتب، موظف تحصيل، موظف مالية</w:t>
            </w:r>
          </w:p>
        </w:tc>
      </w:tr>
      <w:tr>
        <w:tc>
          <w:tcPr>
            <w:tcW w:type="dxa" w:w="4986"/>
          </w:tcPr>
          <w:p>
            <w:pPr>
              <w:bidi/>
              <w:jc w:val="right"/>
            </w:pPr>
            <w:r/>
            <w:r>
              <w:rPr>
                <w:b/>
                <w:sz w:val="21"/>
              </w:rPr>
              <w:t>اللغة الافتراضية</w:t>
            </w:r>
          </w:p>
        </w:tc>
        <w:tc>
          <w:tcPr>
            <w:tcW w:type="dxa" w:w="4986"/>
          </w:tcPr>
          <w:p>
            <w:pPr>
              <w:bidi/>
              <w:jc w:val="right"/>
            </w:pPr>
            <w:r/>
            <w:r>
              <w:rPr>
                <w:sz w:val="21"/>
              </w:rPr>
              <w:t>العربية (RTL) — مع دعم كامل للإنجليزية</w:t>
            </w:r>
          </w:p>
        </w:tc>
      </w:tr>
      <w:tr>
        <w:tc>
          <w:tcPr>
            <w:tcW w:type="dxa" w:w="4986"/>
          </w:tcPr>
          <w:p>
            <w:pPr>
              <w:bidi/>
              <w:jc w:val="right"/>
            </w:pPr>
            <w:r/>
            <w:r>
              <w:rPr>
                <w:b/>
                <w:sz w:val="21"/>
              </w:rPr>
              <w:t>التوجه التصميمي</w:t>
            </w:r>
          </w:p>
        </w:tc>
        <w:tc>
          <w:tcPr>
            <w:tcW w:type="dxa" w:w="4986"/>
          </w:tcPr>
          <w:p>
            <w:pPr>
              <w:bidi/>
              <w:jc w:val="right"/>
            </w:pPr>
            <w:r/>
            <w:r>
              <w:rPr>
                <w:sz w:val="21"/>
              </w:rPr>
              <w:t>بنكي سعودي حديث — أخضر مالي، أبيض دافئ، ذهبي ناعم</w:t>
            </w:r>
          </w:p>
        </w:tc>
      </w:tr>
      <w:tr>
        <w:tc>
          <w:tcPr>
            <w:tcW w:type="dxa" w:w="4986"/>
          </w:tcPr>
          <w:p>
            <w:pPr>
              <w:bidi/>
              <w:jc w:val="right"/>
            </w:pPr>
            <w:r/>
            <w:r>
              <w:rPr>
                <w:b/>
                <w:sz w:val="21"/>
              </w:rPr>
              <w:t>عدد الوحدات الرئيسية</w:t>
            </w:r>
          </w:p>
        </w:tc>
        <w:tc>
          <w:tcPr>
            <w:tcW w:type="dxa" w:w="4986"/>
          </w:tcPr>
          <w:p>
            <w:pPr>
              <w:bidi/>
              <w:jc w:val="right"/>
            </w:pPr>
            <w:r/>
            <w:r>
              <w:rPr>
                <w:sz w:val="21"/>
              </w:rPr>
              <w:t>15 وحدة وظيفية</w:t>
            </w:r>
          </w:p>
        </w:tc>
      </w:tr>
      <w:tr>
        <w:tc>
          <w:tcPr>
            <w:tcW w:type="dxa" w:w="4986"/>
          </w:tcPr>
          <w:p>
            <w:pPr>
              <w:bidi/>
              <w:jc w:val="right"/>
            </w:pPr>
            <w:r/>
            <w:r>
              <w:rPr>
                <w:b/>
                <w:sz w:val="21"/>
              </w:rPr>
              <w:t>عدد البوابات</w:t>
            </w:r>
          </w:p>
        </w:tc>
        <w:tc>
          <w:tcPr>
            <w:tcW w:type="dxa" w:w="4986"/>
          </w:tcPr>
          <w:p>
            <w:pPr>
              <w:bidi/>
              <w:jc w:val="right"/>
            </w:pPr>
            <w:r/>
            <w:r>
              <w:rPr>
                <w:sz w:val="21"/>
              </w:rPr>
              <w:t>2 (بوابة المستثمر، بوابة العميل)</w:t>
            </w:r>
          </w:p>
        </w:tc>
      </w:tr>
      <w:tr>
        <w:tc>
          <w:tcPr>
            <w:tcW w:type="dxa" w:w="4986"/>
          </w:tcPr>
          <w:p>
            <w:pPr>
              <w:bidi/>
              <w:jc w:val="right"/>
            </w:pPr>
            <w:r/>
            <w:r>
              <w:rPr>
                <w:b/>
                <w:sz w:val="21"/>
              </w:rPr>
              <w:t>المرحلة الحالية</w:t>
            </w:r>
          </w:p>
        </w:tc>
        <w:tc>
          <w:tcPr>
            <w:tcW w:type="dxa" w:w="4986"/>
          </w:tcPr>
          <w:p>
            <w:pPr>
              <w:bidi/>
              <w:jc w:val="right"/>
            </w:pPr>
            <w:r/>
            <w:r>
              <w:rPr>
                <w:sz w:val="21"/>
              </w:rPr>
              <w:t>نموذج تجريبي تفاعلي بدون قاعدة بيانات حقيقية</w:t>
            </w:r>
          </w:p>
        </w:tc>
      </w:tr>
    </w:tbl>
    <w:p>
      <w:r>
        <w:br w:type="page"/>
      </w:r>
    </w:p>
    <w:p>
      <w:pPr>
        <w:spacing w:before="360" w:after="120"/>
        <w:jc w:val="right"/>
        <w:bidi/>
      </w:pPr>
      <w:r>
        <w:rPr>
          <w:b/>
          <w:color w:val="2C5F44"/>
          <w:sz w:val="40"/>
        </w:rPr>
        <w:t>٢. سياق الأعمال والأهداف</w:t>
      </w:r>
    </w:p>
    <w:p>
      <w:pPr>
        <w:spacing w:before="240" w:after="80"/>
        <w:jc w:val="right"/>
        <w:bidi/>
      </w:pPr>
      <w:r>
        <w:rPr>
          <w:b/>
          <w:color w:val="2C5F44"/>
          <w:sz w:val="28"/>
        </w:rPr>
        <w:t>٢.١ المشكلة</w:t>
      </w:r>
    </w:p>
    <w:p>
      <w:pPr>
        <w:bidi/>
        <w:spacing w:after="80" w:line="336" w:lineRule="auto"/>
        <w:jc w:val="right"/>
      </w:pPr>
      <w:r>
        <w:rPr>
          <w:b w:val="0"/>
          <w:i w:val="0"/>
          <w:sz w:val="22"/>
        </w:rPr>
        <w:t>تعمل مكاتب التقسيط في المملكة بطرق تقليدية في الغالب — ملفات إكسل، دفاتر ورقية، أو أنظمة محاسبة عامة لا تناسب طبيعة العمل. هذا يؤدي إلى:</w:t>
      </w:r>
    </w:p>
    <w:p>
      <w:pPr>
        <w:pStyle w:val="ListBullet"/>
        <w:bidi/>
        <w:spacing w:after="40"/>
        <w:ind w:left="454" w:right="454"/>
        <w:jc w:val="right"/>
      </w:pPr>
      <w:r>
        <w:rPr>
          <w:sz w:val="22"/>
        </w:rPr>
        <w:t>صعوبة معرفة الرصيد الحالي لأي مستثمر في أي لحظة</w:t>
      </w:r>
    </w:p>
    <w:p>
      <w:pPr>
        <w:pStyle w:val="ListBullet"/>
        <w:bidi/>
        <w:spacing w:after="40"/>
        <w:ind w:left="454" w:right="454"/>
        <w:jc w:val="right"/>
      </w:pPr>
      <w:r>
        <w:rPr>
          <w:sz w:val="22"/>
        </w:rPr>
        <w:t>تعقيد في حساب حصص الأرباح بين المكتب والمستثمر مع كل تحصيل</w:t>
      </w:r>
    </w:p>
    <w:p>
      <w:pPr>
        <w:pStyle w:val="ListBullet"/>
        <w:bidi/>
        <w:spacing w:after="40"/>
        <w:ind w:left="454" w:right="454"/>
        <w:jc w:val="right"/>
      </w:pPr>
      <w:r>
        <w:rPr>
          <w:sz w:val="22"/>
        </w:rPr>
        <w:t>غياب الرؤية الواضحة لمصير رأس مال كل عقد استثمار</w:t>
      </w:r>
    </w:p>
    <w:p>
      <w:pPr>
        <w:pStyle w:val="ListBullet"/>
        <w:bidi/>
        <w:spacing w:after="40"/>
        <w:ind w:left="454" w:right="454"/>
        <w:jc w:val="right"/>
      </w:pPr>
      <w:r>
        <w:rPr>
          <w:sz w:val="22"/>
        </w:rPr>
        <w:t>صعوبة تتبع العملاء وأقساطهم وحالاتهم</w:t>
      </w:r>
    </w:p>
    <w:p>
      <w:pPr>
        <w:pStyle w:val="ListBullet"/>
        <w:bidi/>
        <w:spacing w:after="40"/>
        <w:ind w:left="454" w:right="454"/>
        <w:jc w:val="right"/>
      </w:pPr>
      <w:r>
        <w:rPr>
          <w:sz w:val="22"/>
        </w:rPr>
        <w:t>انعدام الإمكانية لتقديم بوابة شفافة للمستثمر يطّلع فيها على وضعه</w:t>
      </w:r>
    </w:p>
    <w:p>
      <w:pPr>
        <w:pStyle w:val="ListBullet"/>
        <w:bidi/>
        <w:spacing w:after="40"/>
        <w:ind w:left="454" w:right="454"/>
        <w:jc w:val="right"/>
      </w:pPr>
      <w:r>
        <w:rPr>
          <w:sz w:val="22"/>
        </w:rPr>
        <w:t>فقدان الوقت في إدخال البيانات يدوياً عبر النظم القديمة</w:t>
      </w:r>
    </w:p>
    <w:p>
      <w:pPr>
        <w:spacing w:before="240" w:after="80"/>
        <w:jc w:val="right"/>
        <w:bidi/>
      </w:pPr>
      <w:r>
        <w:rPr>
          <w:b/>
          <w:color w:val="2C5F44"/>
          <w:sz w:val="28"/>
        </w:rPr>
        <w:t>٢.٢ الحل المقترح — مُقسِّط</w:t>
      </w:r>
    </w:p>
    <w:p>
      <w:pPr>
        <w:bidi/>
        <w:spacing w:after="80" w:line="336" w:lineRule="auto"/>
        <w:jc w:val="right"/>
      </w:pPr>
      <w:r>
        <w:rPr>
          <w:b w:val="0"/>
          <w:i w:val="0"/>
          <w:sz w:val="22"/>
        </w:rPr>
        <w:t>مُقسِّط منصة موحّدة تدير الدورة الكاملة لمكتب التقسيط بمفاهيم عملية بسيطة لا تحتاج خبرة محاسبية، مع أتمتة كل العمليات الحسابية وراء الكواليس.</w:t>
      </w:r>
    </w:p>
    <w:p>
      <w:pPr>
        <w:spacing w:before="240" w:after="80"/>
        <w:jc w:val="right"/>
        <w:bidi/>
      </w:pPr>
      <w:r>
        <w:rPr>
          <w:b/>
          <w:color w:val="2C5F44"/>
          <w:sz w:val="28"/>
        </w:rPr>
        <w:t>٢.٣ الأهداف الاستراتيجية</w:t>
      </w:r>
    </w:p>
    <w:p>
      <w:pPr>
        <w:pStyle w:val="ListBullet"/>
        <w:bidi/>
        <w:spacing w:after="40"/>
        <w:ind w:left="454" w:right="454"/>
        <w:jc w:val="right"/>
      </w:pPr>
      <w:r>
        <w:rPr>
          <w:sz w:val="22"/>
        </w:rPr>
        <w:t>تبسيط إدارة مكتب التقسيط بحيث يقدر أي موظف على استخدام النظام بدون تدريب طويل</w:t>
      </w:r>
    </w:p>
    <w:p>
      <w:pPr>
        <w:pStyle w:val="ListBullet"/>
        <w:bidi/>
        <w:spacing w:after="40"/>
        <w:ind w:left="454" w:right="454"/>
        <w:jc w:val="right"/>
      </w:pPr>
      <w:r>
        <w:rPr>
          <w:sz w:val="22"/>
        </w:rPr>
        <w:t>أتمتة توزيع الأرباح وتحديث الأرصدة بدون أي تدخل يدوي</w:t>
      </w:r>
    </w:p>
    <w:p>
      <w:pPr>
        <w:pStyle w:val="ListBullet"/>
        <w:bidi/>
        <w:spacing w:after="40"/>
        <w:ind w:left="454" w:right="454"/>
        <w:jc w:val="right"/>
      </w:pPr>
      <w:r>
        <w:rPr>
          <w:sz w:val="22"/>
        </w:rPr>
        <w:t>توفير شفافية كاملة للمستثمر عبر بوابة خاصة به</w:t>
      </w:r>
    </w:p>
    <w:p>
      <w:pPr>
        <w:pStyle w:val="ListBullet"/>
        <w:bidi/>
        <w:spacing w:after="40"/>
        <w:ind w:left="454" w:right="454"/>
        <w:jc w:val="right"/>
      </w:pPr>
      <w:r>
        <w:rPr>
          <w:sz w:val="22"/>
        </w:rPr>
        <w:t>تسهيل الانتقال من الأنظمة القديمة عبر رحلة موجَّهة ذكية</w:t>
      </w:r>
    </w:p>
    <w:p>
      <w:pPr>
        <w:pStyle w:val="ListBullet"/>
        <w:bidi/>
        <w:spacing w:after="40"/>
        <w:ind w:left="454" w:right="454"/>
        <w:jc w:val="right"/>
      </w:pPr>
      <w:r>
        <w:rPr>
          <w:sz w:val="22"/>
        </w:rPr>
        <w:t>بناء أساس صلب يدعم نمو المكتب من واحد إلى عشرات الفروع لاحقاً</w:t>
      </w:r>
    </w:p>
    <w:p>
      <w:pPr>
        <w:spacing w:before="240" w:after="80"/>
        <w:jc w:val="right"/>
        <w:bidi/>
      </w:pPr>
      <w:r>
        <w:rPr>
          <w:b/>
          <w:color w:val="2C5F44"/>
          <w:sz w:val="28"/>
        </w:rPr>
        <w:t>٢.٤ القيمة الأساسية لكل مستخدم</w:t>
      </w:r>
    </w:p>
    <w:p>
      <w:pPr>
        <w:pStyle w:val="ListBullet"/>
        <w:bidi/>
        <w:spacing w:after="40"/>
        <w:ind w:left="454" w:right="454"/>
        <w:jc w:val="right"/>
      </w:pPr>
      <w:r>
        <w:rPr>
          <w:sz w:val="22"/>
        </w:rPr>
        <w:t>لمدير المكتب: رؤية شاملة لمكتبه في لوحة واحدة (نقدية، مخاطر، تحصيلات، أداء استثمارات)</w:t>
      </w:r>
    </w:p>
    <w:p>
      <w:pPr>
        <w:pStyle w:val="ListBullet"/>
        <w:bidi/>
        <w:spacing w:after="40"/>
        <w:ind w:left="454" w:right="454"/>
        <w:jc w:val="right"/>
      </w:pPr>
      <w:r>
        <w:rPr>
          <w:sz w:val="22"/>
        </w:rPr>
        <w:t>لموظف التحصيل: شاشة تركّز على ما يحتاجه فقط — قسط محدد، عميل واحد، دفعة واحدة</w:t>
      </w:r>
    </w:p>
    <w:p>
      <w:pPr>
        <w:pStyle w:val="ListBullet"/>
        <w:bidi/>
        <w:spacing w:after="40"/>
        <w:ind w:left="454" w:right="454"/>
        <w:jc w:val="right"/>
      </w:pPr>
      <w:r>
        <w:rPr>
          <w:sz w:val="22"/>
        </w:rPr>
        <w:t>لموظف المالية: سندات قبض وصرف موحّدة (نوعان فقط) مع تصنيف بنوع الطرف</w:t>
      </w:r>
    </w:p>
    <w:p>
      <w:pPr>
        <w:pStyle w:val="ListBullet"/>
        <w:bidi/>
        <w:spacing w:after="40"/>
        <w:ind w:left="454" w:right="454"/>
        <w:jc w:val="right"/>
      </w:pPr>
      <w:r>
        <w:rPr>
          <w:sz w:val="22"/>
        </w:rPr>
        <w:t>للمستثمر: بوابة شفافة بمعلومات رصيده وعقوده وأرباحه</w:t>
      </w:r>
    </w:p>
    <w:p>
      <w:pPr>
        <w:pStyle w:val="ListBullet"/>
        <w:bidi/>
        <w:spacing w:after="40"/>
        <w:ind w:left="454" w:right="454"/>
        <w:jc w:val="right"/>
      </w:pPr>
      <w:r>
        <w:rPr>
          <w:sz w:val="22"/>
        </w:rPr>
        <w:t>للعميل: بوابة سهلة لرؤية أقساطه ورفع إثباتات الدفع</w:t>
      </w:r>
    </w:p>
    <w:p>
      <w:r>
        <w:br w:type="page"/>
      </w:r>
    </w:p>
    <w:p>
      <w:pPr>
        <w:spacing w:before="360" w:after="120"/>
        <w:jc w:val="right"/>
        <w:bidi/>
      </w:pPr>
      <w:r>
        <w:rPr>
          <w:b/>
          <w:color w:val="2C5F44"/>
          <w:sz w:val="40"/>
        </w:rPr>
        <w:t>٣. المستخدمون المستهدفون</w:t>
      </w:r>
    </w:p>
    <w:p>
      <w:pPr>
        <w:spacing w:before="240" w:after="80"/>
        <w:jc w:val="right"/>
        <w:bidi/>
      </w:pPr>
      <w:r>
        <w:rPr>
          <w:b/>
          <w:color w:val="2C5F44"/>
          <w:sz w:val="28"/>
        </w:rPr>
        <w:t>٣.١ مدير المكتب (Owner-Operator)</w:t>
      </w:r>
    </w:p>
    <w:p>
      <w:pPr>
        <w:bidi/>
        <w:spacing w:after="80" w:line="336" w:lineRule="auto"/>
        <w:jc w:val="right"/>
      </w:pPr>
      <w:r>
        <w:rPr>
          <w:b w:val="0"/>
          <w:i w:val="0"/>
          <w:sz w:val="22"/>
        </w:rPr>
        <w:t>الشخصية الرئيسية. يدير العمليات اليومية ويشرف على الموظفين. يحتاج رؤية تنفيذية لحظية: ما الذي يدخل، ما الذي يخرج، أين رأس المال، ومن المستثمر الذي يستحق توزيع أرباح.</w:t>
      </w:r>
    </w:p>
    <w:p>
      <w:pPr>
        <w:spacing w:before="240" w:after="80"/>
        <w:jc w:val="right"/>
        <w:bidi/>
      </w:pPr>
      <w:r>
        <w:rPr>
          <w:b/>
          <w:color w:val="2C5F44"/>
          <w:sz w:val="28"/>
        </w:rPr>
        <w:t>٣.٢ موظف التحصيل</w:t>
      </w:r>
    </w:p>
    <w:p>
      <w:pPr>
        <w:bidi/>
        <w:spacing w:after="80" w:line="336" w:lineRule="auto"/>
        <w:jc w:val="right"/>
      </w:pPr>
      <w:r>
        <w:rPr>
          <w:b w:val="0"/>
          <w:i w:val="0"/>
          <w:sz w:val="22"/>
        </w:rPr>
        <w:t>يتابع العملاء ويسجّل دفعات الأقساط. لا يحتاج رؤية محاسبية — فقط شاشة بسيطة تعرض القسط المستحق ووسيلة لتسجيل الدفع.</w:t>
      </w:r>
    </w:p>
    <w:p>
      <w:pPr>
        <w:spacing w:before="240" w:after="80"/>
        <w:jc w:val="right"/>
        <w:bidi/>
      </w:pPr>
      <w:r>
        <w:rPr>
          <w:b/>
          <w:color w:val="2C5F44"/>
          <w:sz w:val="28"/>
        </w:rPr>
        <w:t>٣.٣ موظف المالية / المحاسب</w:t>
      </w:r>
    </w:p>
    <w:p>
      <w:pPr>
        <w:bidi/>
        <w:spacing w:after="80" w:line="336" w:lineRule="auto"/>
        <w:jc w:val="right"/>
      </w:pPr>
      <w:r>
        <w:rPr>
          <w:b w:val="0"/>
          <w:i w:val="0"/>
          <w:sz w:val="22"/>
        </w:rPr>
        <w:t>يسجّل سندات القبض والصرف غير المرتبطة بالأقساط (إيجار، رواتب، شراء بضاعة، توزيع أرباح). يحتاج نموذج موحّد بسيط بدون فئات معقّدة.</w:t>
      </w:r>
    </w:p>
    <w:p>
      <w:pPr>
        <w:spacing w:before="240" w:after="80"/>
        <w:jc w:val="right"/>
        <w:bidi/>
      </w:pPr>
      <w:r>
        <w:rPr>
          <w:b/>
          <w:color w:val="2C5F44"/>
          <w:sz w:val="28"/>
        </w:rPr>
        <w:t>٣.٤ المستثمر (عبر البوابة)</w:t>
      </w:r>
    </w:p>
    <w:p>
      <w:pPr>
        <w:bidi/>
        <w:spacing w:after="80" w:line="336" w:lineRule="auto"/>
        <w:jc w:val="right"/>
      </w:pPr>
      <w:r>
        <w:rPr>
          <w:b w:val="0"/>
          <w:i w:val="0"/>
          <w:sz w:val="22"/>
        </w:rPr>
        <w:t>يستخدم بوابة خاصة لرؤية: رصيده الحالي، عقوده الفعّالة، أرباحه المحققة، وآخر الحركات. لا يدخل النظام التشغيلي.</w:t>
      </w:r>
    </w:p>
    <w:p>
      <w:pPr>
        <w:spacing w:before="240" w:after="80"/>
        <w:jc w:val="right"/>
        <w:bidi/>
      </w:pPr>
      <w:r>
        <w:rPr>
          <w:b/>
          <w:color w:val="2C5F44"/>
          <w:sz w:val="28"/>
        </w:rPr>
        <w:t>٣.٥ العميل (عبر البوابة)</w:t>
      </w:r>
    </w:p>
    <w:p>
      <w:pPr>
        <w:bidi/>
        <w:spacing w:after="80" w:line="336" w:lineRule="auto"/>
        <w:jc w:val="right"/>
      </w:pPr>
      <w:r>
        <w:rPr>
          <w:b w:val="0"/>
          <w:i w:val="0"/>
          <w:sz w:val="22"/>
        </w:rPr>
        <w:t>يستخدم بوابة منفصلة لرؤية أقساطه ومواعيدها، ورفع صور إثباتات الدفع التي تذهب للمكتب للمراجعة.</w:t>
      </w:r>
    </w:p>
    <w:p>
      <w:r>
        <w:br w:type="page"/>
      </w:r>
    </w:p>
    <w:p>
      <w:pPr>
        <w:spacing w:before="360" w:after="120"/>
        <w:jc w:val="right"/>
        <w:bidi/>
      </w:pPr>
      <w:r>
        <w:rPr>
          <w:b/>
          <w:color w:val="2C5F44"/>
          <w:sz w:val="40"/>
        </w:rPr>
        <w:t>٤. مبادئ المنتج</w:t>
      </w:r>
    </w:p>
    <w:p>
      <w:pPr>
        <w:spacing w:before="240" w:after="80"/>
        <w:jc w:val="right"/>
        <w:bidi/>
      </w:pPr>
      <w:r>
        <w:rPr>
          <w:b/>
          <w:color w:val="2C5F44"/>
          <w:sz w:val="28"/>
        </w:rPr>
        <w:t>٤.١ التشغيل أولاً، ثم المظهر</w:t>
      </w:r>
    </w:p>
    <w:p>
      <w:pPr>
        <w:bidi/>
        <w:spacing w:after="80" w:line="336" w:lineRule="auto"/>
        <w:jc w:val="right"/>
      </w:pPr>
      <w:r>
        <w:rPr>
          <w:b w:val="0"/>
          <w:i w:val="0"/>
          <w:sz w:val="22"/>
        </w:rPr>
        <w:t>لوحة المكتب موجودة لمساعدة المالك على إدارة العمل، وليس للإعجاب بالرسوم البيانية. البطاقات أهم من الرسوم. كل شاشة تجيب على سؤال تشغيلي، وليس على فضول.</w:t>
      </w:r>
    </w:p>
    <w:p>
      <w:pPr>
        <w:spacing w:before="240" w:after="80"/>
        <w:jc w:val="right"/>
        <w:bidi/>
      </w:pPr>
      <w:r>
        <w:rPr>
          <w:b/>
          <w:color w:val="2C5F44"/>
          <w:sz w:val="28"/>
        </w:rPr>
        <w:t>٤.٢ أولويات لوحة المكتب الأربع</w:t>
      </w:r>
    </w:p>
    <w:p>
      <w:pPr>
        <w:pStyle w:val="ListBullet"/>
        <w:bidi/>
        <w:spacing w:after="40"/>
        <w:ind w:left="454" w:right="454"/>
        <w:jc w:val="right"/>
      </w:pPr>
      <w:r>
        <w:rPr>
          <w:sz w:val="22"/>
        </w:rPr>
        <w:t>الوضع النقدي (Cash Position)</w:t>
      </w:r>
    </w:p>
    <w:p>
      <w:pPr>
        <w:pStyle w:val="ListBullet"/>
        <w:bidi/>
        <w:spacing w:after="40"/>
        <w:ind w:left="454" w:right="454"/>
        <w:jc w:val="right"/>
      </w:pPr>
      <w:r>
        <w:rPr>
          <w:sz w:val="22"/>
        </w:rPr>
        <w:t>المخاطر (Risk)</w:t>
      </w:r>
    </w:p>
    <w:p>
      <w:pPr>
        <w:pStyle w:val="ListBullet"/>
        <w:bidi/>
        <w:spacing w:after="40"/>
        <w:ind w:left="454" w:right="454"/>
        <w:jc w:val="right"/>
      </w:pPr>
      <w:r>
        <w:rPr>
          <w:sz w:val="22"/>
        </w:rPr>
        <w:t>التحصيلات (Collections)</w:t>
      </w:r>
    </w:p>
    <w:p>
      <w:pPr>
        <w:pStyle w:val="ListBullet"/>
        <w:bidi/>
        <w:spacing w:after="40"/>
        <w:ind w:left="454" w:right="454"/>
        <w:jc w:val="right"/>
      </w:pPr>
      <w:r>
        <w:rPr>
          <w:sz w:val="22"/>
        </w:rPr>
        <w:t>أداء الاستثمارات (Investment Performance)</w:t>
      </w:r>
    </w:p>
    <w:p>
      <w:pPr>
        <w:spacing w:before="240" w:after="80"/>
        <w:jc w:val="right"/>
        <w:bidi/>
      </w:pPr>
      <w:r>
        <w:rPr>
          <w:b/>
          <w:color w:val="2C5F44"/>
          <w:sz w:val="28"/>
        </w:rPr>
        <w:t>٤.٣ التوجه التصميمي السعودي المالي</w:t>
      </w:r>
    </w:p>
    <w:p>
      <w:pPr>
        <w:bidi/>
        <w:spacing w:after="80" w:line="336" w:lineRule="auto"/>
        <w:jc w:val="right"/>
      </w:pPr>
      <w:r>
        <w:rPr>
          <w:b w:val="0"/>
          <w:i w:val="0"/>
          <w:sz w:val="22"/>
        </w:rPr>
        <w:t>دافئ، فاخر، موثوق — بنفس الانطباع البصري للبنوك السعودية الحديثة (الراجحي، الإنماء، STC Bank، تمارا، تابي). الأخضر المالي الناعم هويتنا الأساسية، الأبيض الدافئ، والذهبي الخفيف للتأكيد. لا تدرجات ستارت أب صاخبة، ولا وضع داكن أسود.</w:t>
      </w:r>
    </w:p>
    <w:p>
      <w:pPr>
        <w:spacing w:before="240" w:after="80"/>
        <w:jc w:val="right"/>
        <w:bidi/>
      </w:pPr>
      <w:r>
        <w:rPr>
          <w:b/>
          <w:color w:val="2C5F44"/>
          <w:sz w:val="28"/>
        </w:rPr>
        <w:t>٤.٤ البساطة قبل التعقيد</w:t>
      </w:r>
    </w:p>
    <w:p>
      <w:pPr>
        <w:bidi/>
        <w:spacing w:after="80" w:line="336" w:lineRule="auto"/>
        <w:jc w:val="right"/>
      </w:pPr>
      <w:r>
        <w:rPr>
          <w:b w:val="0"/>
          <w:i w:val="0"/>
          <w:sz w:val="22"/>
        </w:rPr>
        <w:t>عند الشك، احذف. خيارات أقل، أنواع رسوم بيانية أقل، حالات أقل. الكثافة فقط حيث تستحق.</w:t>
      </w:r>
    </w:p>
    <w:p>
      <w:pPr>
        <w:spacing w:before="240" w:after="80"/>
        <w:jc w:val="right"/>
        <w:bidi/>
      </w:pPr>
      <w:r>
        <w:rPr>
          <w:b/>
          <w:color w:val="2C5F44"/>
          <w:sz w:val="28"/>
        </w:rPr>
        <w:t>٤.٥ العربية أولاً</w:t>
      </w:r>
    </w:p>
    <w:p>
      <w:pPr>
        <w:bidi/>
        <w:spacing w:after="80" w:line="336" w:lineRule="auto"/>
        <w:jc w:val="right"/>
      </w:pPr>
      <w:r>
        <w:rPr>
          <w:b w:val="0"/>
          <w:i w:val="0"/>
          <w:sz w:val="22"/>
        </w:rPr>
        <w:t>العربية (RTL) هي الاتجاه الافتراضي والصوت الافتراضي. استخدام الأرقام اللاتينية في الأرقام المالية (المعيار السعودي). كل النصوص يجب أن تكون مفهومة للموظف غير التقني — مصطلحات بسيطة، بلا لغة داخلية في الواجهة.</w:t>
      </w:r>
    </w:p>
    <w:p>
      <w:pPr>
        <w:spacing w:before="240" w:after="80"/>
        <w:jc w:val="right"/>
        <w:bidi/>
      </w:pPr>
      <w:r>
        <w:rPr>
          <w:b/>
          <w:color w:val="2C5F44"/>
          <w:sz w:val="28"/>
        </w:rPr>
        <w:t>٤.٦ المستثمر الداخلي = مستثمر بنسبة صفر</w:t>
      </w:r>
    </w:p>
    <w:p>
      <w:pPr>
        <w:bidi/>
        <w:spacing w:after="80" w:line="336" w:lineRule="auto"/>
        <w:jc w:val="right"/>
      </w:pPr>
      <w:r>
        <w:rPr>
          <w:b w:val="0"/>
          <w:i w:val="0"/>
          <w:sz w:val="22"/>
        </w:rPr>
        <w:t>عندما يموّل المكتب نفسه، يُسجَّل كمستثمر داخلي بنفس دورة عقود الاستثمار العادية. الواجهة تميّز بنوع المستثمر، ولا تنشئ تدفقاً موازياً.</w:t>
      </w:r>
    </w:p>
    <w:p>
      <w:pPr>
        <w:spacing w:before="240" w:after="80"/>
        <w:jc w:val="right"/>
        <w:bidi/>
      </w:pPr>
      <w:r>
        <w:rPr>
          <w:b/>
          <w:color w:val="2C5F44"/>
          <w:sz w:val="28"/>
        </w:rPr>
        <w:t>٤.٧ بساطة الـ UX تتفوّق على إظهار منطق الأعمال</w:t>
      </w:r>
    </w:p>
    <w:p>
      <w:pPr>
        <w:bidi/>
        <w:spacing w:after="80" w:line="336" w:lineRule="auto"/>
        <w:jc w:val="right"/>
      </w:pPr>
      <w:r>
        <w:rPr>
          <w:b w:val="0"/>
          <w:i w:val="0"/>
          <w:sz w:val="22"/>
        </w:rPr>
        <w:t>الموظف لا يحتاج فهم: النسب، عدّادات الاسترداد، صيغ التوزيع، حسابات تخصيص رأس المال، وحسابات الأرباح الداخلية. هذه المفاهيم تعيش في الكود فقط، ولا تظهر في الواجهة. الموظف يرى مفاهيم عملية بسيطة: رأس المال المتاح، الربح المتوقع، الرصيد، وما حصّله كل طرف.</w:t>
      </w:r>
    </w:p>
    <w:p>
      <w:r>
        <w:br w:type="page"/>
      </w:r>
    </w:p>
    <w:p>
      <w:pPr>
        <w:spacing w:before="360" w:after="120"/>
        <w:jc w:val="right"/>
        <w:bidi/>
      </w:pPr>
      <w:r>
        <w:rPr>
          <w:b/>
          <w:color w:val="2C5F44"/>
          <w:sz w:val="40"/>
        </w:rPr>
        <w:t>٥. النطاق العام</w:t>
      </w:r>
    </w:p>
    <w:p>
      <w:pPr>
        <w:spacing w:before="240" w:after="80"/>
        <w:jc w:val="right"/>
        <w:bidi/>
      </w:pPr>
      <w:r>
        <w:rPr>
          <w:b/>
          <w:color w:val="2C5F44"/>
          <w:sz w:val="28"/>
        </w:rPr>
        <w:t>٥.١ ما يشمله النظام (In Scope)</w:t>
      </w:r>
    </w:p>
    <w:p>
      <w:pPr>
        <w:pStyle w:val="ListBullet"/>
        <w:bidi/>
        <w:spacing w:after="40"/>
        <w:ind w:left="454" w:right="454"/>
        <w:jc w:val="right"/>
      </w:pPr>
      <w:r>
        <w:rPr>
          <w:sz w:val="22"/>
        </w:rPr>
        <w:t>إدارة المستثمرين الداخليين والخارجيين مع كل أنواع الهويات (سعودي، خليجي، أجنبي، منشأة)</w:t>
      </w:r>
    </w:p>
    <w:p>
      <w:pPr>
        <w:pStyle w:val="ListBullet"/>
        <w:bidi/>
        <w:spacing w:after="40"/>
        <w:ind w:left="454" w:right="454"/>
        <w:jc w:val="right"/>
      </w:pPr>
      <w:r>
        <w:rPr>
          <w:sz w:val="22"/>
        </w:rPr>
        <w:t>عقود الاستثمار بمبالغ ربح متفق عليها لكل طرف</w:t>
      </w:r>
    </w:p>
    <w:p>
      <w:pPr>
        <w:pStyle w:val="ListBullet"/>
        <w:bidi/>
        <w:spacing w:after="40"/>
        <w:ind w:left="454" w:right="454"/>
        <w:jc w:val="right"/>
      </w:pPr>
      <w:r>
        <w:rPr>
          <w:sz w:val="22"/>
        </w:rPr>
        <w:t>إدارة العملاء بمعلومات وظيفية كاملة</w:t>
      </w:r>
    </w:p>
    <w:p>
      <w:pPr>
        <w:pStyle w:val="ListBullet"/>
        <w:bidi/>
        <w:spacing w:after="40"/>
        <w:ind w:left="454" w:right="454"/>
        <w:jc w:val="right"/>
      </w:pPr>
      <w:r>
        <w:rPr>
          <w:sz w:val="22"/>
        </w:rPr>
        <w:t>عقود التقسيط مرتبطة بعقد استثمار مموِّل</w:t>
      </w:r>
    </w:p>
    <w:p>
      <w:pPr>
        <w:pStyle w:val="ListBullet"/>
        <w:bidi/>
        <w:spacing w:after="40"/>
        <w:ind w:left="454" w:right="454"/>
        <w:jc w:val="right"/>
      </w:pPr>
      <w:r>
        <w:rPr>
          <w:sz w:val="22"/>
        </w:rPr>
        <w:t>جدولة الأقساط وتتبع حالاتها (مستحق، مدفوع، جزئي، متأخر)</w:t>
      </w:r>
    </w:p>
    <w:p>
      <w:pPr>
        <w:pStyle w:val="ListBullet"/>
        <w:bidi/>
        <w:spacing w:after="40"/>
        <w:ind w:left="454" w:right="454"/>
        <w:jc w:val="right"/>
      </w:pPr>
      <w:r>
        <w:rPr>
          <w:sz w:val="22"/>
        </w:rPr>
        <w:t>السندات الموحّدة (سند قبض، سند صرف) بنوع طرف (مستثمر، عميل، أخرى)</w:t>
      </w:r>
    </w:p>
    <w:p>
      <w:pPr>
        <w:pStyle w:val="ListBullet"/>
        <w:bidi/>
        <w:spacing w:after="40"/>
        <w:ind w:left="454" w:right="454"/>
        <w:jc w:val="right"/>
      </w:pPr>
      <w:r>
        <w:rPr>
          <w:sz w:val="22"/>
        </w:rPr>
        <w:t>توزيع الأرباح آلياً مع كل قسط محصَّل حسب السياسة (المكتب أولاً، المستثمر أولاً، بالتساوي)</w:t>
      </w:r>
    </w:p>
    <w:p>
      <w:pPr>
        <w:pStyle w:val="ListBullet"/>
        <w:bidi/>
        <w:spacing w:after="40"/>
        <w:ind w:left="454" w:right="454"/>
        <w:jc w:val="right"/>
      </w:pPr>
      <w:r>
        <w:rPr>
          <w:sz w:val="22"/>
        </w:rPr>
        <w:t>الموافقات على المبالغ الكبيرة</w:t>
      </w:r>
    </w:p>
    <w:p>
      <w:pPr>
        <w:pStyle w:val="ListBullet"/>
        <w:bidi/>
        <w:spacing w:after="40"/>
        <w:ind w:left="454" w:right="454"/>
        <w:jc w:val="right"/>
      </w:pPr>
      <w:r>
        <w:rPr>
          <w:sz w:val="22"/>
        </w:rPr>
        <w:t>الأدوار والصلاحيات للموظفين</w:t>
      </w:r>
    </w:p>
    <w:p>
      <w:pPr>
        <w:pStyle w:val="ListBullet"/>
        <w:bidi/>
        <w:spacing w:after="40"/>
        <w:ind w:left="454" w:right="454"/>
        <w:jc w:val="right"/>
      </w:pPr>
      <w:r>
        <w:rPr>
          <w:sz w:val="22"/>
        </w:rPr>
        <w:t>الإشعارات (WhatsApp، SMS، Email)</w:t>
      </w:r>
    </w:p>
    <w:p>
      <w:pPr>
        <w:pStyle w:val="ListBullet"/>
        <w:bidi/>
        <w:spacing w:after="40"/>
        <w:ind w:left="454" w:right="454"/>
        <w:jc w:val="right"/>
      </w:pPr>
      <w:r>
        <w:rPr>
          <w:sz w:val="22"/>
        </w:rPr>
        <w:t>سجل عمليات شامل</w:t>
      </w:r>
    </w:p>
    <w:p>
      <w:pPr>
        <w:pStyle w:val="ListBullet"/>
        <w:bidi/>
        <w:spacing w:after="40"/>
        <w:ind w:left="454" w:right="454"/>
        <w:jc w:val="right"/>
      </w:pPr>
      <w:r>
        <w:rPr>
          <w:sz w:val="22"/>
        </w:rPr>
        <w:t>بوابة المستثمر وبوابة العميل</w:t>
      </w:r>
    </w:p>
    <w:p>
      <w:pPr>
        <w:pStyle w:val="ListBullet"/>
        <w:bidi/>
        <w:spacing w:after="40"/>
        <w:ind w:left="454" w:right="454"/>
        <w:jc w:val="right"/>
      </w:pPr>
      <w:r>
        <w:rPr>
          <w:sz w:val="22"/>
        </w:rPr>
        <w:t>رحلة الانتقال من النظم القديمة</w:t>
      </w:r>
    </w:p>
    <w:p>
      <w:pPr>
        <w:spacing w:before="240" w:after="80"/>
        <w:jc w:val="right"/>
        <w:bidi/>
      </w:pPr>
      <w:r>
        <w:rPr>
          <w:b/>
          <w:color w:val="2C5F44"/>
          <w:sz w:val="28"/>
        </w:rPr>
        <w:t>٥.٢ ما لا يشمله النظام (Out of Scope)</w:t>
      </w:r>
    </w:p>
    <w:p>
      <w:pPr>
        <w:pStyle w:val="ListBullet"/>
        <w:bidi/>
        <w:spacing w:after="40"/>
        <w:ind w:left="454" w:right="454"/>
        <w:jc w:val="right"/>
      </w:pPr>
      <w:r>
        <w:rPr>
          <w:sz w:val="22"/>
        </w:rPr>
        <w:t>دفتر حسابات عام (General Ledger)</w:t>
      </w:r>
    </w:p>
    <w:p>
      <w:pPr>
        <w:pStyle w:val="ListBullet"/>
        <w:bidi/>
        <w:spacing w:after="40"/>
        <w:ind w:left="454" w:right="454"/>
        <w:jc w:val="right"/>
      </w:pPr>
      <w:r>
        <w:rPr>
          <w:sz w:val="22"/>
        </w:rPr>
        <w:t>القيود المحاسبية المزدوجة (Double-Entry)</w:t>
      </w:r>
    </w:p>
    <w:p>
      <w:pPr>
        <w:pStyle w:val="ListBullet"/>
        <w:bidi/>
        <w:spacing w:after="40"/>
        <w:ind w:left="454" w:right="454"/>
        <w:jc w:val="right"/>
      </w:pPr>
      <w:r>
        <w:rPr>
          <w:sz w:val="22"/>
        </w:rPr>
        <w:t>قوائم مالية (Income Statement، Balance Sheet، Cash Flow)</w:t>
      </w:r>
    </w:p>
    <w:p>
      <w:pPr>
        <w:pStyle w:val="ListBullet"/>
        <w:bidi/>
        <w:spacing w:after="40"/>
        <w:ind w:left="454" w:right="454"/>
        <w:jc w:val="right"/>
      </w:pPr>
      <w:r>
        <w:rPr>
          <w:sz w:val="22"/>
        </w:rPr>
        <w:t>شجرة الحسابات (Chart of Accounts)</w:t>
      </w:r>
    </w:p>
    <w:p>
      <w:pPr>
        <w:pStyle w:val="ListBullet"/>
        <w:bidi/>
        <w:spacing w:after="40"/>
        <w:ind w:left="454" w:right="454"/>
        <w:jc w:val="right"/>
      </w:pPr>
      <w:r>
        <w:rPr>
          <w:sz w:val="22"/>
        </w:rPr>
        <w:t>وحدة ضرائب</w:t>
      </w:r>
    </w:p>
    <w:p>
      <w:pPr>
        <w:pStyle w:val="ListBullet"/>
        <w:bidi/>
        <w:spacing w:after="40"/>
        <w:ind w:left="454" w:right="454"/>
        <w:jc w:val="right"/>
      </w:pPr>
      <w:r>
        <w:rPr>
          <w:sz w:val="22"/>
        </w:rPr>
        <w:t>مراكز التكلفة</w:t>
      </w:r>
    </w:p>
    <w:p>
      <w:pPr>
        <w:pStyle w:val="ListBullet"/>
        <w:bidi/>
        <w:spacing w:after="40"/>
        <w:ind w:left="454" w:right="454"/>
        <w:jc w:val="right"/>
      </w:pPr>
      <w:r>
        <w:rPr>
          <w:sz w:val="22"/>
        </w:rPr>
        <w:t>تقارير محاسبية معقّدة</w:t>
      </w:r>
    </w:p>
    <w:p>
      <w:pPr>
        <w:pStyle w:val="ListBullet"/>
        <w:bidi/>
        <w:spacing w:after="40"/>
        <w:ind w:left="454" w:right="454"/>
        <w:jc w:val="right"/>
      </w:pPr>
      <w:r>
        <w:rPr>
          <w:sz w:val="22"/>
        </w:rPr>
        <w:t>فئات أرصدة متعددة (متاح، معلّق، قابل للسحب، مستحق، إلخ)</w:t>
      </w:r>
    </w:p>
    <w:p>
      <w:pPr>
        <w:pStyle w:val="ListBullet"/>
        <w:bidi/>
        <w:spacing w:after="40"/>
        <w:ind w:left="454" w:right="454"/>
        <w:jc w:val="right"/>
      </w:pPr>
      <w:r>
        <w:rPr>
          <w:sz w:val="22"/>
        </w:rPr>
        <w:t>تكامل مباشر مع أنظمة سابقة</w:t>
      </w:r>
    </w:p>
    <w:p>
      <w:r>
        <w:br w:type="page"/>
      </w:r>
    </w:p>
    <w:p>
      <w:pPr>
        <w:spacing w:before="360" w:after="120"/>
        <w:jc w:val="right"/>
        <w:bidi/>
      </w:pPr>
      <w:r>
        <w:rPr>
          <w:b/>
          <w:color w:val="2C5F44"/>
          <w:sz w:val="40"/>
        </w:rPr>
        <w:t>٦. المتطلبات الوظيفية</w:t>
      </w:r>
    </w:p>
    <w:p>
      <w:pPr>
        <w:spacing w:before="240" w:after="80"/>
        <w:jc w:val="right"/>
        <w:bidi/>
      </w:pPr>
      <w:r>
        <w:rPr>
          <w:b/>
          <w:color w:val="2C5F44"/>
          <w:sz w:val="28"/>
        </w:rPr>
        <w:t>٦.١ لوحة العمليات</w:t>
      </w:r>
    </w:p>
    <w:p>
      <w:pPr>
        <w:bidi/>
        <w:spacing w:after="80" w:line="336" w:lineRule="auto"/>
        <w:jc w:val="right"/>
      </w:pPr>
      <w:r>
        <w:rPr>
          <w:b w:val="0"/>
          <w:i w:val="0"/>
          <w:sz w:val="22"/>
        </w:rPr>
        <w:t>الشاشة الرئيسية لمدير المكتب. تعرض الوضع التشغيلي اللحظي للمكتب.</w:t>
      </w:r>
    </w:p>
    <w:p>
      <w:pPr>
        <w:spacing w:before="160" w:after="40"/>
        <w:jc w:val="right"/>
        <w:bidi/>
      </w:pPr>
      <w:r>
        <w:rPr>
          <w:b/>
          <w:color w:val="1A2433"/>
          <w:sz w:val="24"/>
        </w:rPr>
        <w:t>المحتوى:</w:t>
      </w:r>
    </w:p>
    <w:p>
      <w:pPr>
        <w:pStyle w:val="ListBullet"/>
        <w:bidi/>
        <w:spacing w:after="40"/>
        <w:ind w:left="454" w:right="454"/>
        <w:jc w:val="right"/>
      </w:pPr>
      <w:r>
        <w:rPr>
          <w:sz w:val="22"/>
        </w:rPr>
        <w:t>بنر "الانتقال إلى مُقسِّط" (يظهر فقط لو لم تكتمل الرحلة)</w:t>
      </w:r>
    </w:p>
    <w:p>
      <w:pPr>
        <w:pStyle w:val="ListBullet"/>
        <w:bidi/>
        <w:spacing w:after="40"/>
        <w:ind w:left="454" w:right="454"/>
        <w:jc w:val="right"/>
      </w:pPr>
      <w:r>
        <w:rPr>
          <w:sz w:val="22"/>
        </w:rPr>
        <w:t>أربعة KPIs: التحصيلات، المتأخرات، العقود النشطة، العقود المعلّقة</w:t>
      </w:r>
    </w:p>
    <w:p>
      <w:pPr>
        <w:pStyle w:val="ListBullet"/>
        <w:bidi/>
        <w:spacing w:after="40"/>
        <w:ind w:left="454" w:right="454"/>
        <w:jc w:val="right"/>
      </w:pPr>
      <w:r>
        <w:rPr>
          <w:sz w:val="22"/>
        </w:rPr>
        <w:t>التنبيهات الذكية: تأخير 30 يوم، تأخير 60 يوم، مستثمرون يمكن إنشاء عقود من أرصدتهم</w:t>
      </w:r>
    </w:p>
    <w:p>
      <w:pPr>
        <w:pStyle w:val="ListBullet"/>
        <w:bidi/>
        <w:spacing w:after="40"/>
        <w:ind w:left="454" w:right="454"/>
        <w:jc w:val="right"/>
      </w:pPr>
      <w:r>
        <w:rPr>
          <w:sz w:val="22"/>
        </w:rPr>
        <w:t>الأرباح والربحية</w:t>
      </w:r>
    </w:p>
    <w:p>
      <w:pPr>
        <w:pStyle w:val="ListBullet"/>
        <w:bidi/>
        <w:spacing w:after="40"/>
        <w:ind w:left="454" w:right="454"/>
        <w:jc w:val="right"/>
      </w:pPr>
      <w:r>
        <w:rPr>
          <w:sz w:val="22"/>
        </w:rPr>
        <w:t>الاستخدام: داخلي مقابل خارجي</w:t>
      </w:r>
    </w:p>
    <w:p>
      <w:pPr>
        <w:pStyle w:val="ListBullet"/>
        <w:bidi/>
        <w:spacing w:after="40"/>
        <w:ind w:left="454" w:right="454"/>
        <w:jc w:val="right"/>
      </w:pPr>
      <w:r>
        <w:rPr>
          <w:sz w:val="22"/>
        </w:rPr>
        <w:t>حركة النقدية الشهرية</w:t>
      </w:r>
    </w:p>
    <w:p>
      <w:pPr>
        <w:pStyle w:val="ListBullet"/>
        <w:bidi/>
        <w:spacing w:after="40"/>
        <w:ind w:left="454" w:right="454"/>
        <w:jc w:val="right"/>
      </w:pPr>
      <w:r>
        <w:rPr>
          <w:sz w:val="22"/>
        </w:rPr>
        <w:t>متابعة الأقساط (4 تبويبات: اليوم، متأخر، قادم، متعثر)</w:t>
      </w:r>
    </w:p>
    <w:p>
      <w:pPr>
        <w:spacing w:before="240" w:after="80"/>
        <w:jc w:val="right"/>
        <w:bidi/>
      </w:pPr>
      <w:r>
        <w:rPr>
          <w:b/>
          <w:color w:val="2C5F44"/>
          <w:sz w:val="28"/>
        </w:rPr>
        <w:t>٦.٢ المستثمرون</w:t>
      </w:r>
    </w:p>
    <w:p>
      <w:pPr>
        <w:bidi/>
        <w:spacing w:after="80" w:line="336" w:lineRule="auto"/>
        <w:jc w:val="right"/>
      </w:pPr>
      <w:r>
        <w:rPr>
          <w:b w:val="0"/>
          <w:i w:val="0"/>
          <w:sz w:val="22"/>
        </w:rPr>
        <w:t>إدارة شركاء رأس المال (داخلي وخارجي).</w:t>
      </w:r>
    </w:p>
    <w:p>
      <w:pPr>
        <w:spacing w:before="160" w:after="40"/>
        <w:jc w:val="right"/>
        <w:bidi/>
      </w:pPr>
      <w:r>
        <w:rPr>
          <w:b/>
          <w:color w:val="1A2433"/>
          <w:sz w:val="24"/>
        </w:rPr>
        <w:t>قائمة المستثمرين:</w:t>
      </w:r>
    </w:p>
    <w:p>
      <w:pPr>
        <w:pStyle w:val="ListBullet"/>
        <w:bidi/>
        <w:spacing w:after="40"/>
        <w:ind w:left="454" w:right="454"/>
        <w:jc w:val="right"/>
      </w:pPr>
      <w:r>
        <w:rPr>
          <w:sz w:val="22"/>
        </w:rPr>
        <w:t>جدول/بطاقات بأربع KPIs لكل مستثمر: الرصيد الحالي، رأس المال المستثمَر، أرباح المستثمر، العقود النشطة</w:t>
      </w:r>
    </w:p>
    <w:p>
      <w:pPr>
        <w:pStyle w:val="ListBullet"/>
        <w:bidi/>
        <w:spacing w:after="40"/>
        <w:ind w:left="454" w:right="454"/>
        <w:jc w:val="right"/>
      </w:pPr>
      <w:r>
        <w:rPr>
          <w:sz w:val="22"/>
        </w:rPr>
        <w:t>فلاتر: الكل، داخلي، خارجي</w:t>
      </w:r>
    </w:p>
    <w:p>
      <w:pPr>
        <w:pStyle w:val="ListBullet"/>
        <w:bidi/>
        <w:spacing w:after="40"/>
        <w:ind w:left="454" w:right="454"/>
        <w:jc w:val="right"/>
      </w:pPr>
      <w:r>
        <w:rPr>
          <w:sz w:val="22"/>
        </w:rPr>
        <w:t>بحث بالاسم أو رقم الهوية</w:t>
      </w:r>
    </w:p>
    <w:p>
      <w:pPr>
        <w:pStyle w:val="ListBullet"/>
        <w:bidi/>
        <w:spacing w:after="40"/>
        <w:ind w:left="454" w:right="454"/>
        <w:jc w:val="right"/>
      </w:pPr>
      <w:r>
        <w:rPr>
          <w:sz w:val="22"/>
        </w:rPr>
        <w:t>شارة "يمكن إنشاء عقد جديد من الرصيد الحالي" لمن تجاوز رصيده العتبة</w:t>
      </w:r>
    </w:p>
    <w:p>
      <w:pPr>
        <w:spacing w:before="160" w:after="40"/>
        <w:jc w:val="right"/>
        <w:bidi/>
      </w:pPr>
      <w:r>
        <w:rPr>
          <w:b/>
          <w:color w:val="1A2433"/>
          <w:sz w:val="24"/>
        </w:rPr>
        <w:t>ملف المستثمر:</w:t>
      </w:r>
    </w:p>
    <w:p>
      <w:pPr>
        <w:pStyle w:val="ListBullet"/>
        <w:bidi/>
        <w:spacing w:after="40"/>
        <w:ind w:left="454" w:right="454"/>
        <w:jc w:val="right"/>
      </w:pPr>
      <w:r>
        <w:rPr>
          <w:sz w:val="22"/>
        </w:rPr>
        <w:t>شريط KPIs الأربعة</w:t>
      </w:r>
    </w:p>
    <w:p>
      <w:pPr>
        <w:pStyle w:val="ListBullet"/>
        <w:bidi/>
        <w:spacing w:after="40"/>
        <w:ind w:left="454" w:right="454"/>
        <w:jc w:val="right"/>
      </w:pPr>
      <w:r>
        <w:rPr>
          <w:sz w:val="22"/>
        </w:rPr>
        <w:t>تنبيه إعادة التشغيل لو الرصيد ≥ العتبة</w:t>
      </w:r>
    </w:p>
    <w:p>
      <w:pPr>
        <w:pStyle w:val="ListBullet"/>
        <w:bidi/>
        <w:spacing w:after="40"/>
        <w:ind w:left="454" w:right="454"/>
        <w:jc w:val="right"/>
      </w:pPr>
      <w:r>
        <w:rPr>
          <w:sz w:val="22"/>
        </w:rPr>
        <w:t>بطاقة "رصيد المستثمر" مع آخر حركة + أزرار (+ سند قبض، + سند صرف، الحركات المالية)</w:t>
      </w:r>
    </w:p>
    <w:p>
      <w:pPr>
        <w:pStyle w:val="ListBullet"/>
        <w:bidi/>
        <w:spacing w:after="40"/>
        <w:ind w:left="454" w:right="454"/>
        <w:jc w:val="right"/>
      </w:pPr>
      <w:r>
        <w:rPr>
          <w:sz w:val="22"/>
        </w:rPr>
        <w:t>معلومات الاتصال</w:t>
      </w:r>
    </w:p>
    <w:p>
      <w:pPr>
        <w:pStyle w:val="ListBullet"/>
        <w:bidi/>
        <w:spacing w:after="40"/>
        <w:ind w:left="454" w:right="454"/>
        <w:jc w:val="right"/>
      </w:pPr>
      <w:r>
        <w:rPr>
          <w:sz w:val="22"/>
        </w:rPr>
        <w:t>تفاصيل المستثمر: إجمالي رأس المال التاريخي، سياسة توزيع الأرباح (مع override)</w:t>
      </w:r>
    </w:p>
    <w:p>
      <w:pPr>
        <w:pStyle w:val="ListBullet"/>
        <w:bidi/>
        <w:spacing w:after="40"/>
        <w:ind w:left="454" w:right="454"/>
        <w:jc w:val="right"/>
      </w:pPr>
      <w:r>
        <w:rPr>
          <w:sz w:val="22"/>
        </w:rPr>
        <w:t>الحساب البنكي</w:t>
      </w:r>
    </w:p>
    <w:p>
      <w:pPr>
        <w:pStyle w:val="ListBullet"/>
        <w:bidi/>
        <w:spacing w:after="40"/>
        <w:ind w:left="454" w:right="454"/>
        <w:jc w:val="right"/>
      </w:pPr>
      <w:r>
        <w:rPr>
          <w:sz w:val="22"/>
        </w:rPr>
        <w:t>عقود الاستثمار</w:t>
      </w:r>
    </w:p>
    <w:p>
      <w:pPr>
        <w:pStyle w:val="ListBullet"/>
        <w:bidi/>
        <w:spacing w:after="40"/>
        <w:ind w:left="454" w:right="454"/>
        <w:jc w:val="right"/>
      </w:pPr>
      <w:r>
        <w:rPr>
          <w:sz w:val="22"/>
        </w:rPr>
        <w:t>شروط المشاركة في الأرباح</w:t>
      </w:r>
    </w:p>
    <w:p>
      <w:pPr>
        <w:pStyle w:val="ListBullet"/>
        <w:bidi/>
        <w:spacing w:after="40"/>
        <w:ind w:left="454" w:right="454"/>
        <w:jc w:val="right"/>
      </w:pPr>
      <w:r>
        <w:rPr>
          <w:sz w:val="22"/>
        </w:rPr>
        <w:t>سجل النشاط (مشتق من السندات والعقود والتوزيعات)</w:t>
      </w:r>
    </w:p>
    <w:p>
      <w:pPr>
        <w:spacing w:before="240" w:after="80"/>
        <w:jc w:val="right"/>
        <w:bidi/>
      </w:pPr>
      <w:r>
        <w:rPr>
          <w:b/>
          <w:color w:val="2C5F44"/>
          <w:sz w:val="28"/>
        </w:rPr>
        <w:t>٦.٣ عقود الاستثمار</w:t>
      </w:r>
    </w:p>
    <w:p>
      <w:pPr>
        <w:bidi/>
        <w:spacing w:after="80" w:line="336" w:lineRule="auto"/>
        <w:jc w:val="right"/>
      </w:pPr>
      <w:r>
        <w:rPr>
          <w:b w:val="0"/>
          <w:i w:val="0"/>
          <w:sz w:val="22"/>
        </w:rPr>
        <w:t>ربط رأس المال بكل مستثمر مع اتفاق على الأرباح.</w:t>
      </w:r>
    </w:p>
    <w:p>
      <w:pPr>
        <w:spacing w:before="160" w:after="40"/>
        <w:jc w:val="right"/>
        <w:bidi/>
      </w:pPr>
      <w:r>
        <w:rPr>
          <w:b/>
          <w:color w:val="1A2433"/>
          <w:sz w:val="24"/>
        </w:rPr>
        <w:t>عند إنشاء العقد:</w:t>
      </w:r>
    </w:p>
    <w:p>
      <w:pPr>
        <w:pStyle w:val="ListBullet"/>
        <w:bidi/>
        <w:spacing w:after="40"/>
        <w:ind w:left="454" w:right="454"/>
        <w:jc w:val="right"/>
      </w:pPr>
      <w:r>
        <w:rPr>
          <w:sz w:val="22"/>
        </w:rPr>
        <w:t>اختيار المستثمر — يُحدَّد نوعه آلياً (داخلي أو خارجي)</w:t>
      </w:r>
    </w:p>
    <w:p>
      <w:pPr>
        <w:pStyle w:val="ListBullet"/>
        <w:bidi/>
        <w:spacing w:after="40"/>
        <w:ind w:left="454" w:right="454"/>
        <w:jc w:val="right"/>
      </w:pPr>
      <w:r>
        <w:rPr>
          <w:sz w:val="22"/>
        </w:rPr>
        <w:t>للخارجي: مبلغ ربح المكتب المتوقع + مبلغ ربح المستثمر المتوقع</w:t>
      </w:r>
    </w:p>
    <w:p>
      <w:pPr>
        <w:pStyle w:val="ListBullet"/>
        <w:bidi/>
        <w:spacing w:after="40"/>
        <w:ind w:left="454" w:right="454"/>
        <w:jc w:val="right"/>
      </w:pPr>
      <w:r>
        <w:rPr>
          <w:sz w:val="22"/>
        </w:rPr>
        <w:t>للداخلي: حقل واحد فقط — ربح المكتب (يُحفظ كأرباح المستثمر الداخلي)</w:t>
      </w:r>
    </w:p>
    <w:p>
      <w:pPr>
        <w:pStyle w:val="ListBullet"/>
        <w:bidi/>
        <w:spacing w:after="40"/>
        <w:ind w:left="454" w:right="454"/>
        <w:jc w:val="right"/>
      </w:pPr>
      <w:r>
        <w:rPr>
          <w:sz w:val="22"/>
        </w:rPr>
        <w:t>رأس المال، تاريخ البداية، المدة</w:t>
      </w:r>
    </w:p>
    <w:p>
      <w:pPr>
        <w:pStyle w:val="ListBullet"/>
        <w:bidi/>
        <w:spacing w:after="40"/>
        <w:ind w:left="454" w:right="454"/>
        <w:jc w:val="right"/>
      </w:pPr>
      <w:r>
        <w:rPr>
          <w:sz w:val="22"/>
        </w:rPr>
        <w:t>إعدادات إعادة التشغيل</w:t>
      </w:r>
    </w:p>
    <w:p>
      <w:pPr>
        <w:spacing w:before="160" w:after="40"/>
        <w:jc w:val="right"/>
        <w:bidi/>
      </w:pPr>
      <w:r>
        <w:rPr>
          <w:b/>
          <w:color w:val="1A2433"/>
          <w:sz w:val="24"/>
        </w:rPr>
        <w:t>في صفحة العقد:</w:t>
      </w:r>
    </w:p>
    <w:p>
      <w:pPr>
        <w:pStyle w:val="ListBullet"/>
        <w:bidi/>
        <w:spacing w:after="40"/>
        <w:ind w:left="454" w:right="454"/>
        <w:jc w:val="right"/>
      </w:pPr>
      <w:r>
        <w:rPr>
          <w:sz w:val="22"/>
        </w:rPr>
        <w:t>بطاقة "ربح العقد": ربح المكتب، ربح المستثمر، إجمالي الربح</w:t>
      </w:r>
    </w:p>
    <w:p>
      <w:pPr>
        <w:pStyle w:val="ListBullet"/>
        <w:bidi/>
        <w:spacing w:after="40"/>
        <w:ind w:left="454" w:right="454"/>
        <w:jc w:val="right"/>
      </w:pPr>
      <w:r>
        <w:rPr>
          <w:sz w:val="22"/>
        </w:rPr>
        <w:t>بطاقة "استخدام رأس المال": المستخدم/المتاح</w:t>
      </w:r>
    </w:p>
    <w:p>
      <w:pPr>
        <w:pStyle w:val="ListBullet"/>
        <w:bidi/>
        <w:spacing w:after="40"/>
        <w:ind w:left="454" w:right="454"/>
        <w:jc w:val="right"/>
      </w:pPr>
      <w:r>
        <w:rPr>
          <w:sz w:val="22"/>
        </w:rPr>
        <w:t>قائمة عقود التقسيط المرتبطة مع تقدّم التحصيل لكل طرف</w:t>
      </w:r>
    </w:p>
    <w:p>
      <w:pPr>
        <w:pStyle w:val="ListBullet"/>
        <w:bidi/>
        <w:spacing w:after="40"/>
        <w:ind w:left="454" w:right="454"/>
        <w:jc w:val="right"/>
      </w:pPr>
      <w:r>
        <w:rPr>
          <w:sz w:val="22"/>
        </w:rPr>
        <w:t>سجل النشاط</w:t>
      </w:r>
    </w:p>
    <w:p>
      <w:pPr>
        <w:spacing w:before="240" w:after="80"/>
        <w:jc w:val="right"/>
        <w:bidi/>
      </w:pPr>
      <w:r>
        <w:rPr>
          <w:b/>
          <w:color w:val="2C5F44"/>
          <w:sz w:val="28"/>
        </w:rPr>
        <w:t>٦.٤ العملاء</w:t>
      </w:r>
    </w:p>
    <w:p>
      <w:pPr>
        <w:bidi/>
        <w:spacing w:after="80" w:line="336" w:lineRule="auto"/>
        <w:jc w:val="right"/>
      </w:pPr>
      <w:r>
        <w:rPr>
          <w:b w:val="0"/>
          <w:i w:val="0"/>
          <w:sz w:val="22"/>
        </w:rPr>
        <w:t>بيانات عملاء التقسيط مع تقييم المخاطر.</w:t>
      </w:r>
    </w:p>
    <w:p>
      <w:pPr>
        <w:pStyle w:val="ListBullet"/>
        <w:bidi/>
        <w:spacing w:after="40"/>
        <w:ind w:left="454" w:right="454"/>
        <w:jc w:val="right"/>
      </w:pPr>
      <w:r>
        <w:rPr>
          <w:sz w:val="22"/>
        </w:rPr>
        <w:t>قائمة بفلاتر حسب فئة المخاطر (منخفض، متوسط، مرتفع)</w:t>
      </w:r>
    </w:p>
    <w:p>
      <w:pPr>
        <w:pStyle w:val="ListBullet"/>
        <w:bidi/>
        <w:spacing w:after="40"/>
        <w:ind w:left="454" w:right="454"/>
        <w:jc w:val="right"/>
      </w:pPr>
      <w:r>
        <w:rPr>
          <w:sz w:val="22"/>
        </w:rPr>
        <w:t>ملف العميل: الاسم، الهوية، الجوال، الراتب، صاحب العمل، المدينة، العنوان</w:t>
      </w:r>
    </w:p>
    <w:p>
      <w:pPr>
        <w:pStyle w:val="ListBullet"/>
        <w:bidi/>
        <w:spacing w:after="40"/>
        <w:ind w:left="454" w:right="454"/>
        <w:jc w:val="right"/>
      </w:pPr>
      <w:r>
        <w:rPr>
          <w:sz w:val="22"/>
        </w:rPr>
        <w:t>بطاقة العقود الحالية مع حالاتها</w:t>
      </w:r>
    </w:p>
    <w:p>
      <w:pPr>
        <w:pStyle w:val="ListBullet"/>
        <w:bidi/>
        <w:spacing w:after="40"/>
        <w:ind w:left="454" w:right="454"/>
        <w:jc w:val="right"/>
      </w:pPr>
      <w:r>
        <w:rPr>
          <w:sz w:val="22"/>
        </w:rPr>
        <w:t>سجل المدفوعات</w:t>
      </w:r>
    </w:p>
    <w:p>
      <w:pPr>
        <w:spacing w:before="240" w:after="80"/>
        <w:jc w:val="right"/>
        <w:bidi/>
      </w:pPr>
      <w:r>
        <w:rPr>
          <w:b/>
          <w:color w:val="2C5F44"/>
          <w:sz w:val="28"/>
        </w:rPr>
        <w:t>٦.٥ عقود التقسيط</w:t>
      </w:r>
    </w:p>
    <w:p>
      <w:pPr>
        <w:bidi/>
        <w:spacing w:after="80" w:line="336" w:lineRule="auto"/>
        <w:jc w:val="right"/>
      </w:pPr>
      <w:r>
        <w:rPr>
          <w:b w:val="0"/>
          <w:i w:val="0"/>
          <w:sz w:val="22"/>
        </w:rPr>
        <w:t>السلع المباعة بالتقسيط للعملاء.</w:t>
      </w:r>
    </w:p>
    <w:p>
      <w:pPr>
        <w:spacing w:before="160" w:after="40"/>
        <w:jc w:val="right"/>
        <w:bidi/>
      </w:pPr>
      <w:r>
        <w:rPr>
          <w:b/>
          <w:color w:val="1A2433"/>
          <w:sz w:val="24"/>
        </w:rPr>
        <w:t>عند إنشاء العقد:</w:t>
      </w:r>
    </w:p>
    <w:p>
      <w:pPr>
        <w:pStyle w:val="ListBullet"/>
        <w:bidi/>
        <w:spacing w:after="40"/>
        <w:ind w:left="454" w:right="454"/>
        <w:jc w:val="right"/>
      </w:pPr>
      <w:r>
        <w:rPr>
          <w:sz w:val="22"/>
        </w:rPr>
        <w:t>العميل (إلزامي)</w:t>
      </w:r>
    </w:p>
    <w:p>
      <w:pPr>
        <w:pStyle w:val="ListBullet"/>
        <w:bidi/>
        <w:spacing w:after="40"/>
        <w:ind w:left="454" w:right="454"/>
        <w:jc w:val="right"/>
      </w:pPr>
      <w:r>
        <w:rPr>
          <w:sz w:val="22"/>
        </w:rPr>
        <w:t>عقد الاستثمار المموِّل (إلزامي — لا يوجد عقد تقسيط بدون استثمار)</w:t>
      </w:r>
    </w:p>
    <w:p>
      <w:pPr>
        <w:pStyle w:val="ListBullet"/>
        <w:bidi/>
        <w:spacing w:after="40"/>
        <w:ind w:left="454" w:right="454"/>
        <w:jc w:val="right"/>
      </w:pPr>
      <w:r>
        <w:rPr>
          <w:sz w:val="22"/>
        </w:rPr>
        <w:t>قيمة السلعة كاش + قيمة السلعة تقسيطاً → الربح = الفرق</w:t>
      </w:r>
    </w:p>
    <w:p>
      <w:pPr>
        <w:pStyle w:val="ListBullet"/>
        <w:bidi/>
        <w:spacing w:after="40"/>
        <w:ind w:left="454" w:right="454"/>
        <w:jc w:val="right"/>
      </w:pPr>
      <w:r>
        <w:rPr>
          <w:sz w:val="22"/>
        </w:rPr>
        <w:t>عدد الأقساط، الدفعة الأولى، تاريخ البداية</w:t>
      </w:r>
    </w:p>
    <w:p>
      <w:pPr>
        <w:pStyle w:val="ListBullet"/>
        <w:bidi/>
        <w:spacing w:after="40"/>
        <w:ind w:left="454" w:right="454"/>
        <w:jc w:val="right"/>
      </w:pPr>
      <w:r>
        <w:rPr>
          <w:sz w:val="22"/>
        </w:rPr>
        <w:t>عند الحفظ: يُخصم قيمة كاش من المتاح في عقد الاستثمار آلياً</w:t>
      </w:r>
    </w:p>
    <w:p>
      <w:pPr>
        <w:spacing w:before="160" w:after="40"/>
        <w:jc w:val="right"/>
        <w:bidi/>
      </w:pPr>
      <w:r>
        <w:rPr>
          <w:b/>
          <w:color w:val="1A2433"/>
          <w:sz w:val="24"/>
        </w:rPr>
        <w:t>في صفحة العقد:</w:t>
      </w:r>
    </w:p>
    <w:p>
      <w:pPr>
        <w:pStyle w:val="ListBullet"/>
        <w:bidi/>
        <w:spacing w:after="40"/>
        <w:ind w:left="454" w:right="454"/>
        <w:jc w:val="right"/>
      </w:pPr>
      <w:r>
        <w:rPr>
          <w:sz w:val="22"/>
        </w:rPr>
        <w:t>بطاقة "توزيع التحصيلات" مع السياسة الفعّالة وشريطي تقدم (المكتب، المستثمر)</w:t>
      </w:r>
    </w:p>
    <w:p>
      <w:pPr>
        <w:pStyle w:val="ListBullet"/>
        <w:bidi/>
        <w:spacing w:after="40"/>
        <w:ind w:left="454" w:right="454"/>
        <w:jc w:val="right"/>
      </w:pPr>
      <w:r>
        <w:rPr>
          <w:sz w:val="22"/>
        </w:rPr>
        <w:t>جدول الأقساط مع حالاتها</w:t>
      </w:r>
    </w:p>
    <w:p>
      <w:pPr>
        <w:pStyle w:val="ListBullet"/>
        <w:bidi/>
        <w:spacing w:after="40"/>
        <w:ind w:left="454" w:right="454"/>
        <w:jc w:val="right"/>
      </w:pPr>
      <w:r>
        <w:rPr>
          <w:sz w:val="22"/>
        </w:rPr>
        <w:t>زر "دفع" بجانب كل قسط</w:t>
      </w:r>
    </w:p>
    <w:p>
      <w:pPr>
        <w:spacing w:before="240" w:after="80"/>
        <w:jc w:val="right"/>
        <w:bidi/>
      </w:pPr>
      <w:r>
        <w:rPr>
          <w:b/>
          <w:color w:val="2C5F44"/>
          <w:sz w:val="28"/>
        </w:rPr>
        <w:t>٦.٦ التحصيلات</w:t>
      </w:r>
    </w:p>
    <w:p>
      <w:pPr>
        <w:bidi/>
        <w:spacing w:after="80" w:line="336" w:lineRule="auto"/>
        <w:jc w:val="right"/>
      </w:pPr>
      <w:r>
        <w:rPr>
          <w:b w:val="0"/>
          <w:i w:val="0"/>
          <w:sz w:val="22"/>
        </w:rPr>
        <w:t>شاشة موجَّهة لموظف التحصيل — تركيز كامل على الأقساط المستحقة اليوم.</w:t>
      </w:r>
    </w:p>
    <w:p>
      <w:pPr>
        <w:pStyle w:val="ListBullet"/>
        <w:bidi/>
        <w:spacing w:after="40"/>
        <w:ind w:left="454" w:right="454"/>
        <w:jc w:val="right"/>
      </w:pPr>
      <w:r>
        <w:rPr>
          <w:sz w:val="22"/>
        </w:rPr>
        <w:t>جدول بالأقساط المرتّبة حسب الاستحقاق</w:t>
      </w:r>
    </w:p>
    <w:p>
      <w:pPr>
        <w:pStyle w:val="ListBullet"/>
        <w:bidi/>
        <w:spacing w:after="40"/>
        <w:ind w:left="454" w:right="454"/>
        <w:jc w:val="right"/>
      </w:pPr>
      <w:r>
        <w:rPr>
          <w:sz w:val="22"/>
        </w:rPr>
        <w:t>فلاتر: مستحق اليوم، متأخر، قادم، متعثر</w:t>
      </w:r>
    </w:p>
    <w:p>
      <w:pPr>
        <w:pStyle w:val="ListBullet"/>
        <w:bidi/>
        <w:spacing w:after="40"/>
        <w:ind w:left="454" w:right="454"/>
        <w:jc w:val="right"/>
      </w:pPr>
      <w:r>
        <w:rPr>
          <w:sz w:val="22"/>
        </w:rPr>
        <w:t>زر دفع سريع لكل سطر</w:t>
      </w:r>
    </w:p>
    <w:p>
      <w:pPr>
        <w:spacing w:before="240" w:after="80"/>
        <w:jc w:val="right"/>
        <w:bidi/>
      </w:pPr>
      <w:r>
        <w:rPr>
          <w:b/>
          <w:color w:val="2C5F44"/>
          <w:sz w:val="28"/>
        </w:rPr>
        <w:t>٦.٧ السندات (سندات القبض والصرف)</w:t>
      </w:r>
    </w:p>
    <w:p>
      <w:pPr>
        <w:bidi/>
        <w:spacing w:after="80" w:line="336" w:lineRule="auto"/>
        <w:jc w:val="right"/>
      </w:pPr>
      <w:r>
        <w:rPr>
          <w:b w:val="0"/>
          <w:i w:val="0"/>
          <w:sz w:val="22"/>
        </w:rPr>
        <w:t>نوعان فقط — سند قبض وسند صرف — موحّدا الشكل، يميَّزان فقط بنوع الطرف (مستثمر، عميل، أخرى).</w:t>
      </w:r>
    </w:p>
    <w:p>
      <w:pPr>
        <w:spacing w:before="160" w:after="40"/>
        <w:jc w:val="right"/>
        <w:bidi/>
      </w:pPr>
      <w:r>
        <w:rPr>
          <w:b/>
          <w:color w:val="1A2433"/>
          <w:sz w:val="24"/>
        </w:rPr>
        <w:t>سند القبض:</w:t>
      </w:r>
    </w:p>
    <w:p>
      <w:pPr>
        <w:pStyle w:val="ListBullet"/>
        <w:bidi/>
        <w:spacing w:after="40"/>
        <w:ind w:left="454" w:right="454"/>
        <w:jc w:val="right"/>
      </w:pPr>
      <w:r>
        <w:rPr>
          <w:sz w:val="22"/>
        </w:rPr>
        <w:t>رقم تلقائي، تاريخ، مبلغ، طريقة دفع</w:t>
      </w:r>
    </w:p>
    <w:p>
      <w:pPr>
        <w:pStyle w:val="ListBullet"/>
        <w:bidi/>
        <w:spacing w:after="40"/>
        <w:ind w:left="454" w:right="454"/>
        <w:jc w:val="right"/>
      </w:pPr>
      <w:r>
        <w:rPr>
          <w:sz w:val="22"/>
        </w:rPr>
        <w:t>نوع الطرف: مستثمر (يفتح قائمة المستثمرين)، عميل (يفتح قائمة العملاء)، أخرى (حقل نصي حر)</w:t>
      </w:r>
    </w:p>
    <w:p>
      <w:pPr>
        <w:pStyle w:val="ListBullet"/>
        <w:bidi/>
        <w:spacing w:after="40"/>
        <w:ind w:left="454" w:right="454"/>
        <w:jc w:val="right"/>
      </w:pPr>
      <w:r>
        <w:rPr>
          <w:sz w:val="22"/>
        </w:rPr>
        <w:t>وصف اختياري، مرفقات</w:t>
      </w:r>
    </w:p>
    <w:p>
      <w:pPr>
        <w:spacing w:before="160" w:after="40"/>
        <w:jc w:val="right"/>
        <w:bidi/>
      </w:pPr>
      <w:r>
        <w:rPr>
          <w:b/>
          <w:color w:val="1A2433"/>
          <w:sz w:val="24"/>
        </w:rPr>
        <w:t>سند الصرف:</w:t>
      </w:r>
    </w:p>
    <w:p>
      <w:pPr>
        <w:pStyle w:val="ListBullet"/>
        <w:bidi/>
        <w:spacing w:after="40"/>
        <w:ind w:left="454" w:right="454"/>
        <w:jc w:val="right"/>
      </w:pPr>
      <w:r>
        <w:rPr>
          <w:sz w:val="22"/>
        </w:rPr>
        <w:t>نفس الشكل — رقم، تاريخ، نوع الطرف، مبلغ، طريقة، وصف</w:t>
      </w:r>
    </w:p>
    <w:p>
      <w:pPr>
        <w:pStyle w:val="ListBullet"/>
        <w:bidi/>
        <w:spacing w:after="40"/>
        <w:ind w:left="454" w:right="454"/>
        <w:jc w:val="right"/>
      </w:pPr>
      <w:r>
        <w:rPr>
          <w:sz w:val="22"/>
        </w:rPr>
        <w:t>فوق 10,000 ر.س يحتاج موافقة</w:t>
      </w:r>
    </w:p>
    <w:p>
      <w:pPr>
        <w:spacing w:before="160" w:after="40"/>
        <w:jc w:val="right"/>
        <w:bidi/>
      </w:pPr>
      <w:r>
        <w:rPr>
          <w:b/>
          <w:color w:val="1A2433"/>
          <w:sz w:val="24"/>
        </w:rPr>
        <w:t>الإنشاء التلقائي:</w:t>
      </w:r>
    </w:p>
    <w:p>
      <w:pPr>
        <w:pStyle w:val="ListBullet"/>
        <w:bidi/>
        <w:spacing w:after="40"/>
        <w:ind w:left="454" w:right="454"/>
        <w:jc w:val="right"/>
      </w:pPr>
      <w:r>
        <w:rPr>
          <w:sz w:val="22"/>
        </w:rPr>
        <w:t>تسجيل دفعة قسط من العميل → سند قبض تلقائي بنوع طرف "عميل" مع رقم القسط</w:t>
      </w:r>
    </w:p>
    <w:p>
      <w:pPr>
        <w:pStyle w:val="ListBullet"/>
        <w:bidi/>
        <w:spacing w:after="40"/>
        <w:ind w:left="454" w:right="454"/>
        <w:jc w:val="right"/>
      </w:pPr>
      <w:r>
        <w:rPr>
          <w:sz w:val="22"/>
        </w:rPr>
        <w:t>السند يحرّك الرصيد: قبض من مستثمر يزيد رصيده، صرف لمستثمر ينقصه</w:t>
      </w:r>
    </w:p>
    <w:p>
      <w:pPr>
        <w:spacing w:before="160" w:after="40"/>
        <w:jc w:val="right"/>
        <w:bidi/>
      </w:pPr>
      <w:r>
        <w:rPr>
          <w:b/>
          <w:color w:val="1A2433"/>
          <w:sz w:val="24"/>
        </w:rPr>
        <w:t>قائمة السندات:</w:t>
      </w:r>
    </w:p>
    <w:p>
      <w:pPr>
        <w:pStyle w:val="ListBullet"/>
        <w:bidi/>
        <w:spacing w:after="40"/>
        <w:ind w:left="454" w:right="454"/>
        <w:jc w:val="right"/>
      </w:pPr>
      <w:r>
        <w:rPr>
          <w:sz w:val="22"/>
        </w:rPr>
        <w:t>فلاتر بنوع الطرف</w:t>
      </w:r>
    </w:p>
    <w:p>
      <w:pPr>
        <w:pStyle w:val="ListBullet"/>
        <w:bidi/>
        <w:spacing w:after="40"/>
        <w:ind w:left="454" w:right="454"/>
        <w:jc w:val="right"/>
      </w:pPr>
      <w:r>
        <w:rPr>
          <w:sz w:val="22"/>
        </w:rPr>
        <w:t>عند فتحها بـ ?investorId=… تصبح مفلترة بحبّة قابلة للإزالة</w:t>
      </w:r>
    </w:p>
    <w:p>
      <w:pPr>
        <w:spacing w:before="240" w:after="80"/>
        <w:jc w:val="right"/>
        <w:bidi/>
      </w:pPr>
      <w:r>
        <w:rPr>
          <w:b/>
          <w:color w:val="2C5F44"/>
          <w:sz w:val="28"/>
        </w:rPr>
        <w:t>٦.٨ توزيع الأرباح</w:t>
      </w:r>
    </w:p>
    <w:p>
      <w:pPr>
        <w:bidi/>
        <w:spacing w:after="80" w:line="336" w:lineRule="auto"/>
        <w:jc w:val="right"/>
      </w:pPr>
      <w:r>
        <w:rPr>
          <w:b w:val="0"/>
          <w:i w:val="0"/>
          <w:sz w:val="22"/>
        </w:rPr>
        <w:t>السياسة هرمية: إعدادات المكتب → ملف المستثمر (override اختياري) → عقد الاستثمار يأخذ السياسة الفعّالة.</w:t>
      </w:r>
    </w:p>
    <w:p>
      <w:pPr>
        <w:spacing w:before="160" w:after="40"/>
        <w:jc w:val="right"/>
        <w:bidi/>
      </w:pPr>
      <w:r>
        <w:rPr>
          <w:b/>
          <w:color w:val="1A2433"/>
          <w:sz w:val="24"/>
        </w:rPr>
        <w:t>السياسات الثلاث:</w:t>
      </w:r>
    </w:p>
    <w:p>
      <w:pPr>
        <w:pStyle w:val="ListBullet"/>
        <w:bidi/>
        <w:spacing w:after="40"/>
        <w:ind w:left="454" w:right="454"/>
        <w:jc w:val="right"/>
      </w:pPr>
      <w:r>
        <w:rPr>
          <w:sz w:val="22"/>
        </w:rPr>
        <w:t>المكتب أولاً: كل قسط محصَّل يذهب بالكامل للمكتب حتى يكتمل ربحه، ثم للمستثمر</w:t>
      </w:r>
    </w:p>
    <w:p>
      <w:pPr>
        <w:pStyle w:val="ListBullet"/>
        <w:bidi/>
        <w:spacing w:after="40"/>
        <w:ind w:left="454" w:right="454"/>
        <w:jc w:val="right"/>
      </w:pPr>
      <w:r>
        <w:rPr>
          <w:sz w:val="22"/>
        </w:rPr>
        <w:t>المستثمر أولاً: العكس — المستثمر يستلم بالكامل، ثم المكتب</w:t>
      </w:r>
    </w:p>
    <w:p>
      <w:pPr>
        <w:pStyle w:val="ListBullet"/>
        <w:bidi/>
        <w:spacing w:after="40"/>
        <w:ind w:left="454" w:right="454"/>
        <w:jc w:val="right"/>
      </w:pPr>
      <w:r>
        <w:rPr>
          <w:sz w:val="22"/>
        </w:rPr>
        <w:t>بالتساوي: كل قسط يُقسَّم فوراً بنسبة الحصص</w:t>
      </w:r>
    </w:p>
    <w:p>
      <w:pPr>
        <w:spacing w:before="160" w:after="40"/>
        <w:jc w:val="right"/>
        <w:bidi/>
      </w:pPr>
      <w:r>
        <w:rPr>
          <w:b/>
          <w:color w:val="1A2433"/>
          <w:sz w:val="24"/>
        </w:rPr>
        <w:t>التطبيق التلقائي:</w:t>
      </w:r>
    </w:p>
    <w:p>
      <w:pPr>
        <w:bidi/>
        <w:spacing w:after="80" w:line="336" w:lineRule="auto"/>
        <w:jc w:val="right"/>
      </w:pPr>
      <w:r>
        <w:rPr>
          <w:b w:val="0"/>
          <w:i w:val="0"/>
          <w:sz w:val="22"/>
        </w:rPr>
        <w:t>عند تحصيل قسط، النظام يقوم بـ:</w:t>
      </w:r>
    </w:p>
    <w:p>
      <w:pPr>
        <w:pStyle w:val="ListBullet"/>
        <w:bidi/>
        <w:spacing w:after="40"/>
        <w:ind w:left="454" w:right="454"/>
        <w:jc w:val="right"/>
      </w:pPr>
      <w:r>
        <w:rPr>
          <w:sz w:val="22"/>
        </w:rPr>
        <w:t>قراءة السياسة الفعّالة للمستثمر صاحب العقد</w:t>
      </w:r>
    </w:p>
    <w:p>
      <w:pPr>
        <w:pStyle w:val="ListBullet"/>
        <w:bidi/>
        <w:spacing w:after="40"/>
        <w:ind w:left="454" w:right="454"/>
        <w:jc w:val="right"/>
      </w:pPr>
      <w:r>
        <w:rPr>
          <w:sz w:val="22"/>
        </w:rPr>
        <w:t>حساب حصة كل طرف من ربح هذا التقسيط</w:t>
      </w:r>
    </w:p>
    <w:p>
      <w:pPr>
        <w:pStyle w:val="ListBullet"/>
        <w:bidi/>
        <w:spacing w:after="40"/>
        <w:ind w:left="454" w:right="454"/>
        <w:jc w:val="right"/>
      </w:pPr>
      <w:r>
        <w:rPr>
          <w:sz w:val="22"/>
        </w:rPr>
        <w:t>تحديث عدّاد التحصيل لكل طرف</w:t>
      </w:r>
    </w:p>
    <w:p>
      <w:pPr>
        <w:pStyle w:val="ListBullet"/>
        <w:bidi/>
        <w:spacing w:after="40"/>
        <w:ind w:left="454" w:right="454"/>
        <w:jc w:val="right"/>
      </w:pPr>
      <w:r>
        <w:rPr>
          <w:sz w:val="22"/>
        </w:rPr>
        <w:t>إنشاء حدث "توزيع أرباح" مع snapshot للسياسة</w:t>
      </w:r>
    </w:p>
    <w:p>
      <w:pPr>
        <w:pStyle w:val="ListBullet"/>
        <w:bidi/>
        <w:spacing w:after="40"/>
        <w:ind w:left="454" w:right="454"/>
        <w:jc w:val="right"/>
      </w:pPr>
      <w:r>
        <w:rPr>
          <w:sz w:val="22"/>
        </w:rPr>
        <w:t>زيادة رصيد المستثمر بحصته، وأرباحه المحققة بجزء الربح فقط</w:t>
      </w:r>
    </w:p>
    <w:p>
      <w:pPr>
        <w:bidi/>
        <w:spacing w:after="80" w:line="336" w:lineRule="auto"/>
        <w:jc w:val="right"/>
      </w:pPr>
      <w:r>
        <w:rPr>
          <w:b w:val="0"/>
          <w:i w:val="0"/>
          <w:sz w:val="22"/>
        </w:rPr>
        <w:t>لا توجد شاشة لتسجيل توزيع أرباح يدوياً — كل شيء آلي.</w:t>
      </w:r>
    </w:p>
    <w:p>
      <w:pPr>
        <w:spacing w:before="240" w:after="80"/>
        <w:jc w:val="right"/>
        <w:bidi/>
      </w:pPr>
      <w:r>
        <w:rPr>
          <w:b/>
          <w:color w:val="2C5F44"/>
          <w:sz w:val="28"/>
        </w:rPr>
        <w:t>٦.٩ الموافقات</w:t>
      </w:r>
    </w:p>
    <w:p>
      <w:pPr>
        <w:pStyle w:val="ListBullet"/>
        <w:bidi/>
        <w:spacing w:after="40"/>
        <w:ind w:left="454" w:right="454"/>
        <w:jc w:val="right"/>
      </w:pPr>
      <w:r>
        <w:rPr>
          <w:sz w:val="22"/>
        </w:rPr>
        <w:t>قائمة بالطلبات المنتظرة (مبالغ &gt; 10K، أو أي طلب يحتاج موافقة)</w:t>
      </w:r>
    </w:p>
    <w:p>
      <w:pPr>
        <w:pStyle w:val="ListBullet"/>
        <w:bidi/>
        <w:spacing w:after="40"/>
        <w:ind w:left="454" w:right="454"/>
        <w:jc w:val="right"/>
      </w:pPr>
      <w:r>
        <w:rPr>
          <w:sz w:val="22"/>
        </w:rPr>
        <w:t>فلاتر بحسب الأولوية (حرج، عادي، منخفض)</w:t>
      </w:r>
    </w:p>
    <w:p>
      <w:pPr>
        <w:pStyle w:val="ListBullet"/>
        <w:bidi/>
        <w:spacing w:after="40"/>
        <w:ind w:left="454" w:right="454"/>
        <w:jc w:val="right"/>
      </w:pPr>
      <w:r>
        <w:rPr>
          <w:sz w:val="22"/>
        </w:rPr>
        <w:t>عرض المعلومات الكاملة + قرار (موافقة / رفض / طلب توضيح) + ملاحظات</w:t>
      </w:r>
    </w:p>
    <w:p>
      <w:pPr>
        <w:spacing w:before="240" w:after="80"/>
        <w:jc w:val="right"/>
        <w:bidi/>
      </w:pPr>
      <w:r>
        <w:rPr>
          <w:b/>
          <w:color w:val="2C5F44"/>
          <w:sz w:val="28"/>
        </w:rPr>
        <w:t>٦.١٠ الأدوار والصلاحيات</w:t>
      </w:r>
    </w:p>
    <w:p>
      <w:pPr>
        <w:pStyle w:val="ListBullet"/>
        <w:bidi/>
        <w:spacing w:after="40"/>
        <w:ind w:left="454" w:right="454"/>
        <w:jc w:val="right"/>
      </w:pPr>
      <w:r>
        <w:rPr>
          <w:sz w:val="22"/>
        </w:rPr>
        <w:t>أدوار افتراضية: مدير، مسؤول مالية، موظف تحصيل، موظف</w:t>
      </w:r>
    </w:p>
    <w:p>
      <w:pPr>
        <w:pStyle w:val="ListBullet"/>
        <w:bidi/>
        <w:spacing w:after="40"/>
        <w:ind w:left="454" w:right="454"/>
        <w:jc w:val="right"/>
      </w:pPr>
      <w:r>
        <w:rPr>
          <w:sz w:val="22"/>
        </w:rPr>
        <w:t>صلاحيات مجمَّعة: العقود، السندات، العملاء، المستثمرون، النظام</w:t>
      </w:r>
    </w:p>
    <w:p>
      <w:pPr>
        <w:pStyle w:val="ListBullet"/>
        <w:bidi/>
        <w:spacing w:after="40"/>
        <w:ind w:left="454" w:right="454"/>
        <w:jc w:val="right"/>
      </w:pPr>
      <w:r>
        <w:rPr>
          <w:sz w:val="22"/>
        </w:rPr>
        <w:t>لكل صلاحية: مسموح، يحتاج موافقة، ممنوع</w:t>
      </w:r>
    </w:p>
    <w:p>
      <w:pPr>
        <w:pStyle w:val="ListBullet"/>
        <w:bidi/>
        <w:spacing w:after="40"/>
        <w:ind w:left="454" w:right="454"/>
        <w:jc w:val="right"/>
      </w:pPr>
      <w:r>
        <w:rPr>
          <w:sz w:val="22"/>
        </w:rPr>
        <w:t>إدارة الموظفين وربطهم بالأدوار</w:t>
      </w:r>
    </w:p>
    <w:p>
      <w:pPr>
        <w:spacing w:before="240" w:after="80"/>
        <w:jc w:val="right"/>
        <w:bidi/>
      </w:pPr>
      <w:r>
        <w:rPr>
          <w:b/>
          <w:color w:val="2C5F44"/>
          <w:sz w:val="28"/>
        </w:rPr>
        <w:t>٦.١١ الإشعارات والتنبيهات</w:t>
      </w:r>
    </w:p>
    <w:p>
      <w:pPr>
        <w:pStyle w:val="ListBullet"/>
        <w:bidi/>
        <w:spacing w:after="40"/>
        <w:ind w:left="454" w:right="454"/>
        <w:jc w:val="right"/>
      </w:pPr>
      <w:r>
        <w:rPr>
          <w:sz w:val="22"/>
        </w:rPr>
        <w:t>قنوات: WhatsApp، SMS، Email</w:t>
      </w:r>
    </w:p>
    <w:p>
      <w:pPr>
        <w:pStyle w:val="ListBullet"/>
        <w:bidi/>
        <w:spacing w:after="40"/>
        <w:ind w:left="454" w:right="454"/>
        <w:jc w:val="right"/>
      </w:pPr>
      <w:r>
        <w:rPr>
          <w:sz w:val="22"/>
        </w:rPr>
        <w:t>ساعات الهدوء (لا إشعارات بين وقتين محددين)</w:t>
      </w:r>
    </w:p>
    <w:p>
      <w:pPr>
        <w:pStyle w:val="ListBullet"/>
        <w:bidi/>
        <w:spacing w:after="40"/>
        <w:ind w:left="454" w:right="454"/>
        <w:jc w:val="right"/>
      </w:pPr>
      <w:r>
        <w:rPr>
          <w:sz w:val="22"/>
        </w:rPr>
        <w:t>أنواع التنبيهات: عميل متأخر، إثبات دفع جديد، طلب موافقة، اقتراب نهاية عقد، نسبة OCR منخفضة، مستثمر يقترب من رصيد سلبي</w:t>
      </w:r>
    </w:p>
    <w:p>
      <w:pPr>
        <w:spacing w:before="240" w:after="80"/>
        <w:jc w:val="right"/>
        <w:bidi/>
      </w:pPr>
      <w:r>
        <w:rPr>
          <w:b/>
          <w:color w:val="2C5F44"/>
          <w:sz w:val="28"/>
        </w:rPr>
        <w:t>٦.١٢ سجل العمليات</w:t>
      </w:r>
    </w:p>
    <w:p>
      <w:pPr>
        <w:pStyle w:val="ListBullet"/>
        <w:bidi/>
        <w:spacing w:after="40"/>
        <w:ind w:left="454" w:right="454"/>
        <w:jc w:val="right"/>
      </w:pPr>
      <w:r>
        <w:rPr>
          <w:sz w:val="22"/>
        </w:rPr>
        <w:t>قائمة بكل التغييرات المهمة على النظام</w:t>
      </w:r>
    </w:p>
    <w:p>
      <w:pPr>
        <w:pStyle w:val="ListBullet"/>
        <w:bidi/>
        <w:spacing w:after="40"/>
        <w:ind w:left="454" w:right="454"/>
        <w:jc w:val="right"/>
      </w:pPr>
      <w:r>
        <w:rPr>
          <w:sz w:val="22"/>
        </w:rPr>
        <w:t>من قام بالتغيير، ومتى، وعلى ماذا، والقيم قبل/بعد</w:t>
      </w:r>
    </w:p>
    <w:p>
      <w:pPr>
        <w:spacing w:before="240" w:after="80"/>
        <w:jc w:val="right"/>
        <w:bidi/>
      </w:pPr>
      <w:r>
        <w:rPr>
          <w:b/>
          <w:color w:val="2C5F44"/>
          <w:sz w:val="28"/>
        </w:rPr>
        <w:t>٦.١٣ إعدادات المكتب</w:t>
      </w:r>
    </w:p>
    <w:p>
      <w:pPr>
        <w:bidi/>
        <w:spacing w:after="80" w:line="336" w:lineRule="auto"/>
        <w:jc w:val="right"/>
      </w:pPr>
      <w:r>
        <w:rPr>
          <w:b w:val="0"/>
          <w:i w:val="0"/>
          <w:sz w:val="22"/>
        </w:rPr>
        <w:t>ست بطاقات في شاشة واحدة (Auto-save).</w:t>
      </w:r>
    </w:p>
    <w:p>
      <w:pPr>
        <w:pStyle w:val="ListBullet"/>
        <w:bidi/>
        <w:spacing w:after="40"/>
        <w:ind w:left="454" w:right="454"/>
        <w:jc w:val="right"/>
      </w:pPr>
      <w:r>
        <w:rPr>
          <w:sz w:val="22"/>
        </w:rPr>
        <w:t>هوية المكتب: الاسم (AR/EN)، الشعار، السجل التجاري، الرقم الضريبي، تاريخ التأسيس</w:t>
      </w:r>
    </w:p>
    <w:p>
      <w:pPr>
        <w:pStyle w:val="ListBullet"/>
        <w:bidi/>
        <w:spacing w:after="40"/>
        <w:ind w:left="454" w:right="454"/>
        <w:jc w:val="right"/>
      </w:pPr>
      <w:r>
        <w:rPr>
          <w:sz w:val="22"/>
        </w:rPr>
        <w:t>بيانات الاتصال: هاتف، بريد، مدينة، حي، عنوان، موقع</w:t>
      </w:r>
    </w:p>
    <w:p>
      <w:pPr>
        <w:pStyle w:val="ListBullet"/>
        <w:bidi/>
        <w:spacing w:after="40"/>
        <w:ind w:left="454" w:right="454"/>
        <w:jc w:val="right"/>
      </w:pPr>
      <w:r>
        <w:rPr>
          <w:sz w:val="22"/>
        </w:rPr>
        <w:t>الحسابات البنكية للمكتب: عدة حسابات (اسم البنك، اسم المستفيد، الآيبان)</w:t>
      </w:r>
    </w:p>
    <w:p>
      <w:pPr>
        <w:pStyle w:val="ListBullet"/>
        <w:bidi/>
        <w:spacing w:after="40"/>
        <w:ind w:left="454" w:right="454"/>
        <w:jc w:val="right"/>
      </w:pPr>
      <w:r>
        <w:rPr>
          <w:sz w:val="22"/>
        </w:rPr>
        <w:t>افتراضيات الاستثمار: حد إعادة التشغيل</w:t>
      </w:r>
    </w:p>
    <w:p>
      <w:pPr>
        <w:pStyle w:val="ListBullet"/>
        <w:bidi/>
        <w:spacing w:after="40"/>
        <w:ind w:left="454" w:right="454"/>
        <w:jc w:val="right"/>
      </w:pPr>
      <w:r>
        <w:rPr>
          <w:sz w:val="22"/>
        </w:rPr>
        <w:t>سياسة توزيع الأرباح الافتراضية: المكتب أولاً / المستثمر أولاً / بالتساوي</w:t>
      </w:r>
    </w:p>
    <w:p>
      <w:pPr>
        <w:pStyle w:val="ListBullet"/>
        <w:bidi/>
        <w:spacing w:after="40"/>
        <w:ind w:left="454" w:right="454"/>
        <w:jc w:val="right"/>
      </w:pPr>
      <w:r>
        <w:rPr>
          <w:sz w:val="22"/>
        </w:rPr>
        <w:t>تفضيلات الإشعارات: القنوات، ساعات الهدوء، أنواع التنبيهات</w:t>
      </w:r>
    </w:p>
    <w:p>
      <w:pPr>
        <w:spacing w:before="240" w:after="80"/>
        <w:jc w:val="right"/>
        <w:bidi/>
      </w:pPr>
      <w:r>
        <w:rPr>
          <w:b/>
          <w:color w:val="2C5F44"/>
          <w:sz w:val="28"/>
        </w:rPr>
        <w:t>٦.١٤ البوابات</w:t>
      </w:r>
    </w:p>
    <w:p>
      <w:pPr>
        <w:spacing w:before="160" w:after="40"/>
        <w:jc w:val="right"/>
        <w:bidi/>
      </w:pPr>
      <w:r>
        <w:rPr>
          <w:b/>
          <w:color w:val="1A2433"/>
          <w:sz w:val="24"/>
        </w:rPr>
        <w:t>بوابة المستثمر:</w:t>
      </w:r>
    </w:p>
    <w:p>
      <w:pPr>
        <w:pStyle w:val="ListBullet"/>
        <w:bidi/>
        <w:spacing w:after="40"/>
        <w:ind w:left="454" w:right="454"/>
        <w:jc w:val="right"/>
      </w:pPr>
      <w:r>
        <w:rPr>
          <w:sz w:val="22"/>
        </w:rPr>
        <w:t>لوحة بسيطة: ملخص رأس المال، عقود نشطة، الأرباح</w:t>
      </w:r>
    </w:p>
    <w:p>
      <w:pPr>
        <w:pStyle w:val="ListBullet"/>
        <w:bidi/>
        <w:spacing w:after="40"/>
        <w:ind w:left="454" w:right="454"/>
        <w:jc w:val="right"/>
      </w:pPr>
      <w:r>
        <w:rPr>
          <w:sz w:val="22"/>
        </w:rPr>
        <w:t>محاكي استثمار</w:t>
      </w:r>
    </w:p>
    <w:p>
      <w:pPr>
        <w:pStyle w:val="ListBullet"/>
        <w:bidi/>
        <w:spacing w:after="40"/>
        <w:ind w:left="454" w:right="454"/>
        <w:jc w:val="right"/>
      </w:pPr>
      <w:r>
        <w:rPr>
          <w:sz w:val="22"/>
        </w:rPr>
        <w:t>قائمة الاستثمارات وتفاصيلها</w:t>
      </w:r>
    </w:p>
    <w:p>
      <w:pPr>
        <w:pStyle w:val="ListBullet"/>
        <w:bidi/>
        <w:spacing w:after="40"/>
        <w:ind w:left="454" w:right="454"/>
        <w:jc w:val="right"/>
      </w:pPr>
      <w:r>
        <w:rPr>
          <w:sz w:val="22"/>
        </w:rPr>
        <w:t>سجل النشاط</w:t>
      </w:r>
    </w:p>
    <w:p>
      <w:pPr>
        <w:pStyle w:val="ListBullet"/>
        <w:bidi/>
        <w:spacing w:after="40"/>
        <w:ind w:left="454" w:right="454"/>
        <w:jc w:val="right"/>
      </w:pPr>
      <w:r>
        <w:rPr>
          <w:sz w:val="22"/>
        </w:rPr>
        <w:t>كشف الحساب والإشعارات</w:t>
      </w:r>
    </w:p>
    <w:p>
      <w:pPr>
        <w:spacing w:before="160" w:after="40"/>
        <w:jc w:val="right"/>
        <w:bidi/>
      </w:pPr>
      <w:r>
        <w:rPr>
          <w:b/>
          <w:color w:val="1A2433"/>
          <w:sz w:val="24"/>
        </w:rPr>
        <w:t>بوابة العميل:</w:t>
      </w:r>
    </w:p>
    <w:p>
      <w:pPr>
        <w:pStyle w:val="ListBullet"/>
        <w:bidi/>
        <w:spacing w:after="40"/>
        <w:ind w:left="454" w:right="454"/>
        <w:jc w:val="right"/>
      </w:pPr>
      <w:r>
        <w:rPr>
          <w:sz w:val="22"/>
        </w:rPr>
        <w:t>قائمة الأقساط مع التواريخ والمبالغ</w:t>
      </w:r>
    </w:p>
    <w:p>
      <w:pPr>
        <w:pStyle w:val="ListBullet"/>
        <w:bidi/>
        <w:spacing w:after="40"/>
        <w:ind w:left="454" w:right="454"/>
        <w:jc w:val="right"/>
      </w:pPr>
      <w:r>
        <w:rPr>
          <w:sz w:val="22"/>
        </w:rPr>
        <w:t>رفع إثبات دفع (صورة، تحويل بنكي)</w:t>
      </w:r>
    </w:p>
    <w:p>
      <w:pPr>
        <w:pStyle w:val="ListBullet"/>
        <w:bidi/>
        <w:spacing w:after="40"/>
        <w:ind w:left="454" w:right="454"/>
        <w:jc w:val="right"/>
      </w:pPr>
      <w:r>
        <w:rPr>
          <w:sz w:val="22"/>
        </w:rPr>
        <w:t>شاشة تأكيد الرفع</w:t>
      </w:r>
    </w:p>
    <w:p>
      <w:pPr>
        <w:spacing w:before="240" w:after="80"/>
        <w:jc w:val="right"/>
        <w:bidi/>
      </w:pPr>
      <w:r>
        <w:rPr>
          <w:b/>
          <w:color w:val="2C5F44"/>
          <w:sz w:val="28"/>
        </w:rPr>
        <w:t>٦.١٥ الانتقال إلى مُقسِّط</w:t>
      </w:r>
    </w:p>
    <w:p>
      <w:pPr>
        <w:bidi/>
        <w:spacing w:after="80" w:line="336" w:lineRule="auto"/>
        <w:jc w:val="right"/>
      </w:pPr>
      <w:r>
        <w:rPr>
          <w:b w:val="0"/>
          <w:i w:val="0"/>
          <w:sz w:val="22"/>
        </w:rPr>
        <w:t>رحلة موجَّهة من 7 خطوات تساعد المكتب على نقل بياناته القديمة:</w:t>
      </w:r>
    </w:p>
    <w:p>
      <w:pPr>
        <w:pStyle w:val="ListBullet"/>
        <w:bidi/>
        <w:spacing w:after="40"/>
        <w:ind w:left="454" w:right="454"/>
        <w:jc w:val="right"/>
      </w:pPr>
      <w:r>
        <w:rPr>
          <w:sz w:val="22"/>
        </w:rPr>
        <w:t>1. المستثمرون</w:t>
      </w:r>
    </w:p>
    <w:p>
      <w:pPr>
        <w:pStyle w:val="ListBullet"/>
        <w:bidi/>
        <w:spacing w:after="40"/>
        <w:ind w:left="454" w:right="454"/>
        <w:jc w:val="right"/>
      </w:pPr>
      <w:r>
        <w:rPr>
          <w:sz w:val="22"/>
        </w:rPr>
        <w:t>2. عقود الاستثمار</w:t>
      </w:r>
    </w:p>
    <w:p>
      <w:pPr>
        <w:pStyle w:val="ListBullet"/>
        <w:bidi/>
        <w:spacing w:after="40"/>
        <w:ind w:left="454" w:right="454"/>
        <w:jc w:val="right"/>
      </w:pPr>
      <w:r>
        <w:rPr>
          <w:sz w:val="22"/>
        </w:rPr>
        <w:t>3. العملاء</w:t>
      </w:r>
    </w:p>
    <w:p>
      <w:pPr>
        <w:pStyle w:val="ListBullet"/>
        <w:bidi/>
        <w:spacing w:after="40"/>
        <w:ind w:left="454" w:right="454"/>
        <w:jc w:val="right"/>
      </w:pPr>
      <w:r>
        <w:rPr>
          <w:sz w:val="22"/>
        </w:rPr>
        <w:t>4. عقود التقسيط</w:t>
      </w:r>
    </w:p>
    <w:p>
      <w:pPr>
        <w:pStyle w:val="ListBullet"/>
        <w:bidi/>
        <w:spacing w:after="40"/>
        <w:ind w:left="454" w:right="454"/>
        <w:jc w:val="right"/>
      </w:pPr>
      <w:r>
        <w:rPr>
          <w:sz w:val="22"/>
        </w:rPr>
        <w:t>5. سندات القبض</w:t>
      </w:r>
    </w:p>
    <w:p>
      <w:pPr>
        <w:pStyle w:val="ListBullet"/>
        <w:bidi/>
        <w:spacing w:after="40"/>
        <w:ind w:left="454" w:right="454"/>
        <w:jc w:val="right"/>
      </w:pPr>
      <w:r>
        <w:rPr>
          <w:sz w:val="22"/>
        </w:rPr>
        <w:t>6. سندات الصرف</w:t>
      </w:r>
    </w:p>
    <w:p>
      <w:pPr>
        <w:pStyle w:val="ListBullet"/>
        <w:bidi/>
        <w:spacing w:after="40"/>
        <w:ind w:left="454" w:right="454"/>
        <w:jc w:val="right"/>
      </w:pPr>
      <w:r>
        <w:rPr>
          <w:sz w:val="22"/>
        </w:rPr>
        <w:t>7. المراجعة النهائية</w:t>
      </w:r>
    </w:p>
    <w:p>
      <w:pPr>
        <w:spacing w:before="160" w:after="40"/>
        <w:jc w:val="right"/>
        <w:bidi/>
      </w:pPr>
      <w:r>
        <w:rPr>
          <w:b/>
          <w:color w:val="1A2433"/>
          <w:sz w:val="24"/>
        </w:rPr>
        <w:t>لكل خطوة (1-6):</w:t>
      </w:r>
    </w:p>
    <w:p>
      <w:pPr>
        <w:pStyle w:val="ListBullet"/>
        <w:bidi/>
        <w:spacing w:after="40"/>
        <w:ind w:left="454" w:right="454"/>
        <w:jc w:val="right"/>
      </w:pPr>
      <w:r>
        <w:rPr>
          <w:sz w:val="22"/>
        </w:rPr>
        <w:t>سؤال: "ما نوع الملفات المتوفرة لديك؟" — خمسة خيارات</w:t>
      </w:r>
    </w:p>
    <w:p>
      <w:pPr>
        <w:pStyle w:val="ListBullet"/>
        <w:bidi/>
        <w:spacing w:after="40"/>
        <w:ind w:left="454" w:right="454"/>
        <w:jc w:val="right"/>
      </w:pPr>
      <w:r>
        <w:rPr>
          <w:sz w:val="22"/>
        </w:rPr>
        <w:t>Excel — تحليل دقيق</w:t>
      </w:r>
    </w:p>
    <w:p>
      <w:pPr>
        <w:pStyle w:val="ListBullet"/>
        <w:bidi/>
        <w:spacing w:after="40"/>
        <w:ind w:left="454" w:right="454"/>
        <w:jc w:val="right"/>
      </w:pPr>
      <w:r>
        <w:rPr>
          <w:sz w:val="22"/>
        </w:rPr>
        <w:t>PDF — تحليل جيد</w:t>
      </w:r>
    </w:p>
    <w:p>
      <w:pPr>
        <w:pStyle w:val="ListBullet"/>
        <w:bidi/>
        <w:spacing w:after="40"/>
        <w:ind w:left="454" w:right="454"/>
        <w:jc w:val="right"/>
      </w:pPr>
      <w:r>
        <w:rPr>
          <w:sz w:val="22"/>
        </w:rPr>
        <w:t>لقطات من نظامك الحالي — لمن لا يستطيع التصدير</w:t>
      </w:r>
    </w:p>
    <w:p>
      <w:pPr>
        <w:pStyle w:val="ListBullet"/>
        <w:bidi/>
        <w:spacing w:after="40"/>
        <w:ind w:left="454" w:right="454"/>
        <w:jc w:val="right"/>
      </w:pPr>
      <w:r>
        <w:rPr>
          <w:sz w:val="22"/>
        </w:rPr>
        <w:t>صور أو مسح ضوئي للأوراق — للوثائق الورقية</w:t>
      </w:r>
    </w:p>
    <w:p>
      <w:pPr>
        <w:pStyle w:val="ListBullet"/>
        <w:bidi/>
        <w:spacing w:after="40"/>
        <w:ind w:left="454" w:right="454"/>
        <w:jc w:val="right"/>
      </w:pPr>
      <w:r>
        <w:rPr>
          <w:sz w:val="22"/>
        </w:rPr>
        <w:t>إدخال يدوي — للبدء من فارغ</w:t>
      </w:r>
    </w:p>
    <w:p>
      <w:pPr>
        <w:pStyle w:val="ListBullet"/>
        <w:bidi/>
        <w:spacing w:after="40"/>
        <w:ind w:left="454" w:right="454"/>
        <w:jc w:val="right"/>
      </w:pPr>
      <w:r>
        <w:rPr>
          <w:sz w:val="22"/>
        </w:rPr>
        <w:t>محاكاة "جاري التحليل..." لـ 1.4 ثانية</w:t>
      </w:r>
    </w:p>
    <w:p>
      <w:pPr>
        <w:pStyle w:val="ListBullet"/>
        <w:bidi/>
        <w:spacing w:after="40"/>
        <w:ind w:left="454" w:right="454"/>
        <w:jc w:val="right"/>
      </w:pPr>
      <w:r>
        <w:rPr>
          <w:sz w:val="22"/>
        </w:rPr>
        <w:t>جدول مراجعة بثلاث حالات للحقول: مؤكد، يحتاج مراجعة، ناقص</w:t>
      </w:r>
    </w:p>
    <w:p>
      <w:pPr>
        <w:pStyle w:val="ListBullet"/>
        <w:bidi/>
        <w:spacing w:after="40"/>
        <w:ind w:left="454" w:right="454"/>
        <w:jc w:val="right"/>
      </w:pPr>
      <w:r>
        <w:rPr>
          <w:sz w:val="22"/>
        </w:rPr>
        <w:t>بطاقة "هل هذان نفس الشخص؟" للربط البسيط (Yes/No)</w:t>
      </w:r>
    </w:p>
    <w:p>
      <w:pPr>
        <w:pStyle w:val="ListBullet"/>
        <w:bidi/>
        <w:spacing w:after="40"/>
        <w:ind w:left="454" w:right="454"/>
        <w:jc w:val="right"/>
      </w:pPr>
      <w:r>
        <w:rPr>
          <w:sz w:val="22"/>
        </w:rPr>
        <w:t>زر "اعتماد البيانات" أو "تخطّي الخطوة"</w:t>
      </w:r>
    </w:p>
    <w:p>
      <w:pPr>
        <w:spacing w:before="160" w:after="40"/>
        <w:jc w:val="right"/>
        <w:bidi/>
      </w:pPr>
      <w:r>
        <w:rPr>
          <w:b/>
          <w:color w:val="1A2433"/>
          <w:sz w:val="24"/>
        </w:rPr>
        <w:t>المراجعة النهائية:</w:t>
      </w:r>
    </w:p>
    <w:p>
      <w:pPr>
        <w:pStyle w:val="ListBullet"/>
        <w:bidi/>
        <w:spacing w:after="40"/>
        <w:ind w:left="454" w:right="454"/>
        <w:jc w:val="right"/>
      </w:pPr>
      <w:r>
        <w:rPr>
          <w:sz w:val="22"/>
        </w:rPr>
        <w:t>ست بطاقات بعدد السجلات لكل نوع</w:t>
      </w:r>
    </w:p>
    <w:p>
      <w:pPr>
        <w:pStyle w:val="ListBullet"/>
        <w:bidi/>
        <w:spacing w:after="40"/>
        <w:ind w:left="454" w:right="454"/>
        <w:jc w:val="right"/>
      </w:pPr>
      <w:r>
        <w:rPr>
          <w:sz w:val="22"/>
        </w:rPr>
        <w:t>زر "اعتماد الانتقال إلى مُقسِّط"</w:t>
      </w:r>
    </w:p>
    <w:p>
      <w:pPr>
        <w:pStyle w:val="ListBullet"/>
        <w:bidi/>
        <w:spacing w:after="40"/>
        <w:ind w:left="454" w:right="454"/>
        <w:jc w:val="right"/>
      </w:pPr>
      <w:r>
        <w:rPr>
          <w:sz w:val="22"/>
        </w:rPr>
        <w:t>شاشة احتفال + إجمالي السجلات</w:t>
      </w:r>
    </w:p>
    <w:p>
      <w:r>
        <w:br w:type="page"/>
      </w:r>
    </w:p>
    <w:p>
      <w:pPr>
        <w:spacing w:before="360" w:after="120"/>
        <w:jc w:val="right"/>
        <w:bidi/>
      </w:pPr>
      <w:r>
        <w:rPr>
          <w:b/>
          <w:color w:val="2C5F44"/>
          <w:sz w:val="40"/>
        </w:rPr>
        <w:t>٧. النموذج البياني</w:t>
      </w:r>
    </w:p>
    <w:p>
      <w:pPr>
        <w:spacing w:before="240" w:after="80"/>
        <w:jc w:val="right"/>
        <w:bidi/>
      </w:pPr>
      <w:r>
        <w:rPr>
          <w:b/>
          <w:color w:val="2C5F44"/>
          <w:sz w:val="28"/>
        </w:rPr>
        <w:t>٧.١ الكيانات الرئيسية</w:t>
      </w:r>
    </w:p>
    <w:tbl>
      <w:tblPr>
        <w:tblStyle w:val="LightGrid-Accent1"/>
        <w:tblW w:type="auto" w:w="0"/>
        <w:tblLook w:firstColumn="1" w:firstRow="1" w:lastColumn="0" w:lastRow="0" w:noHBand="0" w:noVBand="1" w:val="04A0"/>
      </w:tblPr>
      <w:tblGrid>
        <w:gridCol w:w="4986"/>
        <w:gridCol w:w="4986"/>
      </w:tblGrid>
      <w:tr>
        <w:tc>
          <w:tcPr>
            <w:tcW w:type="dxa" w:w="4986"/>
          </w:tcPr>
          <w:p>
            <w:pPr>
              <w:bidi/>
              <w:jc w:val="right"/>
            </w:pPr>
            <w:r/>
            <w:r>
              <w:rPr>
                <w:b/>
                <w:color w:val="2C5F44"/>
                <w:sz w:val="21"/>
              </w:rPr>
              <w:t>الكيان</w:t>
            </w:r>
          </w:p>
        </w:tc>
        <w:tc>
          <w:tcPr>
            <w:tcW w:type="dxa" w:w="4986"/>
          </w:tcPr>
          <w:p>
            <w:pPr>
              <w:bidi/>
              <w:jc w:val="right"/>
            </w:pPr>
            <w:r/>
            <w:r>
              <w:rPr>
                <w:b/>
                <w:color w:val="2C5F44"/>
                <w:sz w:val="21"/>
              </w:rPr>
              <w:t>الحقول الرئيسية</w:t>
            </w:r>
          </w:p>
        </w:tc>
      </w:tr>
      <w:tr>
        <w:tc>
          <w:tcPr>
            <w:tcW w:type="dxa" w:w="4986"/>
          </w:tcPr>
          <w:p>
            <w:pPr>
              <w:bidi/>
              <w:jc w:val="right"/>
            </w:pPr>
            <w:r/>
            <w:r>
              <w:rPr>
                <w:sz w:val="20"/>
              </w:rPr>
              <w:t>Investor (مستثمر)</w:t>
            </w:r>
          </w:p>
        </w:tc>
        <w:tc>
          <w:tcPr>
            <w:tcW w:type="dxa" w:w="4986"/>
          </w:tcPr>
          <w:p>
            <w:pPr>
              <w:bidi/>
              <w:jc w:val="right"/>
            </w:pPr>
            <w:r/>
            <w:r>
              <w:rPr>
                <w:sz w:val="20"/>
              </w:rPr>
              <w:t>id, name, type (internal/external), identity, currentBalance, realizedProfit, totalCapital, profitPolicyOverride, bankAccount</w:t>
            </w:r>
          </w:p>
        </w:tc>
      </w:tr>
      <w:tr>
        <w:tc>
          <w:tcPr>
            <w:tcW w:type="dxa" w:w="4986"/>
          </w:tcPr>
          <w:p>
            <w:pPr>
              <w:bidi/>
              <w:jc w:val="right"/>
            </w:pPr>
            <w:r/>
            <w:r>
              <w:rPr>
                <w:sz w:val="20"/>
              </w:rPr>
              <w:t>InvestmentContract (عقد استثمار)</w:t>
            </w:r>
          </w:p>
        </w:tc>
        <w:tc>
          <w:tcPr>
            <w:tcW w:type="dxa" w:w="4986"/>
          </w:tcPr>
          <w:p>
            <w:pPr>
              <w:bidi/>
              <w:jc w:val="right"/>
            </w:pPr>
            <w:r/>
            <w:r>
              <w:rPr>
                <w:sz w:val="20"/>
              </w:rPr>
              <w:t>id, number, investorId, amount, officeExpectedProfit, investorExpectedProfit, utilized, remaining, startDate, durationMonths</w:t>
            </w:r>
          </w:p>
        </w:tc>
      </w:tr>
      <w:tr>
        <w:tc>
          <w:tcPr>
            <w:tcW w:type="dxa" w:w="4986"/>
          </w:tcPr>
          <w:p>
            <w:pPr>
              <w:bidi/>
              <w:jc w:val="right"/>
            </w:pPr>
            <w:r/>
            <w:r>
              <w:rPr>
                <w:sz w:val="20"/>
              </w:rPr>
              <w:t>Customer (عميل)</w:t>
            </w:r>
          </w:p>
        </w:tc>
        <w:tc>
          <w:tcPr>
            <w:tcW w:type="dxa" w:w="4986"/>
          </w:tcPr>
          <w:p>
            <w:pPr>
              <w:bidi/>
              <w:jc w:val="right"/>
            </w:pPr>
            <w:r/>
            <w:r>
              <w:rPr>
                <w:sz w:val="20"/>
              </w:rPr>
              <w:t>id, name, identity, mobile, employer, monthlySalary, city, address, riskClass</w:t>
            </w:r>
          </w:p>
        </w:tc>
      </w:tr>
      <w:tr>
        <w:tc>
          <w:tcPr>
            <w:tcW w:type="dxa" w:w="4986"/>
          </w:tcPr>
          <w:p>
            <w:pPr>
              <w:bidi/>
              <w:jc w:val="right"/>
            </w:pPr>
            <w:r/>
            <w:r>
              <w:rPr>
                <w:sz w:val="20"/>
              </w:rPr>
              <w:t>InstallmentContract (عقد تقسيط)</w:t>
            </w:r>
          </w:p>
        </w:tc>
        <w:tc>
          <w:tcPr>
            <w:tcW w:type="dxa" w:w="4986"/>
          </w:tcPr>
          <w:p>
            <w:pPr>
              <w:bidi/>
              <w:jc w:val="right"/>
            </w:pPr>
            <w:r/>
            <w:r>
              <w:rPr>
                <w:sz w:val="20"/>
              </w:rPr>
              <w:t>id, number, customerId, investmentContractId, cashPrice, installmentPrice, downPayment, installmentsCount, schedule, officeRecoveredSoFar, investorRecoveredSoFar</w:t>
            </w:r>
          </w:p>
        </w:tc>
      </w:tr>
      <w:tr>
        <w:tc>
          <w:tcPr>
            <w:tcW w:type="dxa" w:w="4986"/>
          </w:tcPr>
          <w:p>
            <w:pPr>
              <w:bidi/>
              <w:jc w:val="right"/>
            </w:pPr>
            <w:r/>
            <w:r>
              <w:rPr>
                <w:sz w:val="20"/>
              </w:rPr>
              <w:t>Installment (قسط)</w:t>
            </w:r>
          </w:p>
        </w:tc>
        <w:tc>
          <w:tcPr>
            <w:tcW w:type="dxa" w:w="4986"/>
          </w:tcPr>
          <w:p>
            <w:pPr>
              <w:bidi/>
              <w:jc w:val="right"/>
            </w:pPr>
            <w:r/>
            <w:r>
              <w:rPr>
                <w:sz w:val="20"/>
              </w:rPr>
              <w:t>id, contractId, index, dueDate, amount, paidAmount, status</w:t>
            </w:r>
          </w:p>
        </w:tc>
      </w:tr>
      <w:tr>
        <w:tc>
          <w:tcPr>
            <w:tcW w:type="dxa" w:w="4986"/>
          </w:tcPr>
          <w:p>
            <w:pPr>
              <w:bidi/>
              <w:jc w:val="right"/>
            </w:pPr>
            <w:r/>
            <w:r>
              <w:rPr>
                <w:sz w:val="20"/>
              </w:rPr>
              <w:t>ReceiptVoucher (سند قبض)</w:t>
            </w:r>
          </w:p>
        </w:tc>
        <w:tc>
          <w:tcPr>
            <w:tcW w:type="dxa" w:w="4986"/>
          </w:tcPr>
          <w:p>
            <w:pPr>
              <w:bidi/>
              <w:jc w:val="right"/>
            </w:pPr>
            <w:r/>
            <w:r>
              <w:rPr>
                <w:sz w:val="20"/>
              </w:rPr>
              <w:t>id, number, date, amount, method, partyType, fromName, investorId?, customerId?, contractId?, installmentId?</w:t>
            </w:r>
          </w:p>
        </w:tc>
      </w:tr>
      <w:tr>
        <w:tc>
          <w:tcPr>
            <w:tcW w:type="dxa" w:w="4986"/>
          </w:tcPr>
          <w:p>
            <w:pPr>
              <w:bidi/>
              <w:jc w:val="right"/>
            </w:pPr>
            <w:r/>
            <w:r>
              <w:rPr>
                <w:sz w:val="20"/>
              </w:rPr>
              <w:t>PaymentVoucher (سند صرف)</w:t>
            </w:r>
          </w:p>
        </w:tc>
        <w:tc>
          <w:tcPr>
            <w:tcW w:type="dxa" w:w="4986"/>
          </w:tcPr>
          <w:p>
            <w:pPr>
              <w:bidi/>
              <w:jc w:val="right"/>
            </w:pPr>
            <w:r/>
            <w:r>
              <w:rPr>
                <w:sz w:val="20"/>
              </w:rPr>
              <w:t>id, number, date, amount, method, partyType, beneficiaryName, investorId?, customerId?, needsApproval, approvalId?</w:t>
            </w:r>
          </w:p>
        </w:tc>
      </w:tr>
      <w:tr>
        <w:tc>
          <w:tcPr>
            <w:tcW w:type="dxa" w:w="4986"/>
          </w:tcPr>
          <w:p>
            <w:pPr>
              <w:bidi/>
              <w:jc w:val="right"/>
            </w:pPr>
            <w:r/>
            <w:r>
              <w:rPr>
                <w:sz w:val="20"/>
              </w:rPr>
              <w:t>ProfitDistribution (حدث توزيع)</w:t>
            </w:r>
          </w:p>
        </w:tc>
        <w:tc>
          <w:tcPr>
            <w:tcW w:type="dxa" w:w="4986"/>
          </w:tcPr>
          <w:p>
            <w:pPr>
              <w:bidi/>
              <w:jc w:val="right"/>
            </w:pPr>
            <w:r/>
            <w:r>
              <w:rPr>
                <w:sz w:val="20"/>
              </w:rPr>
              <w:t>id, date, investorId, installmentContractId, installmentId, officeShare, investorShare, policyApplied, policySource</w:t>
            </w:r>
          </w:p>
        </w:tc>
      </w:tr>
      <w:tr>
        <w:tc>
          <w:tcPr>
            <w:tcW w:type="dxa" w:w="4986"/>
          </w:tcPr>
          <w:p>
            <w:pPr>
              <w:bidi/>
              <w:jc w:val="right"/>
            </w:pPr>
            <w:r/>
            <w:r>
              <w:rPr>
                <w:sz w:val="20"/>
              </w:rPr>
              <w:t>OfficeSettings (إعدادات المكتب)</w:t>
            </w:r>
          </w:p>
        </w:tc>
        <w:tc>
          <w:tcPr>
            <w:tcW w:type="dxa" w:w="4986"/>
          </w:tcPr>
          <w:p>
            <w:pPr>
              <w:bidi/>
              <w:jc w:val="right"/>
            </w:pPr>
            <w:r/>
            <w:r>
              <w:rPr>
                <w:sz w:val="20"/>
              </w:rPr>
              <w:t>identity, contact, bankAccounts, investmentDefaults, profitDistribution.policy, notifications</w:t>
            </w:r>
          </w:p>
        </w:tc>
      </w:tr>
      <w:tr>
        <w:tc>
          <w:tcPr>
            <w:tcW w:type="dxa" w:w="4986"/>
          </w:tcPr>
          <w:p>
            <w:pPr>
              <w:bidi/>
              <w:jc w:val="right"/>
            </w:pPr>
            <w:r/>
            <w:r>
              <w:rPr>
                <w:sz w:val="20"/>
              </w:rPr>
              <w:t>Employee (موظف)</w:t>
            </w:r>
          </w:p>
        </w:tc>
        <w:tc>
          <w:tcPr>
            <w:tcW w:type="dxa" w:w="4986"/>
          </w:tcPr>
          <w:p>
            <w:pPr>
              <w:bidi/>
              <w:jc w:val="right"/>
            </w:pPr>
            <w:r/>
            <w:r>
              <w:rPr>
                <w:sz w:val="20"/>
              </w:rPr>
              <w:t>id, name, roleId, status</w:t>
            </w:r>
          </w:p>
        </w:tc>
      </w:tr>
      <w:tr>
        <w:tc>
          <w:tcPr>
            <w:tcW w:type="dxa" w:w="4986"/>
          </w:tcPr>
          <w:p>
            <w:pPr>
              <w:bidi/>
              <w:jc w:val="right"/>
            </w:pPr>
            <w:r/>
            <w:r>
              <w:rPr>
                <w:sz w:val="20"/>
              </w:rPr>
              <w:t>Role (دور)</w:t>
            </w:r>
          </w:p>
        </w:tc>
        <w:tc>
          <w:tcPr>
            <w:tcW w:type="dxa" w:w="4986"/>
          </w:tcPr>
          <w:p>
            <w:pPr>
              <w:bidi/>
              <w:jc w:val="right"/>
            </w:pPr>
            <w:r/>
            <w:r>
              <w:rPr>
                <w:sz w:val="20"/>
              </w:rPr>
              <w:t>id, name, permissions{action: state}</w:t>
            </w:r>
          </w:p>
        </w:tc>
      </w:tr>
    </w:tbl>
    <w:p>
      <w:pPr>
        <w:spacing w:before="240" w:after="80"/>
        <w:jc w:val="right"/>
        <w:bidi/>
      </w:pPr>
      <w:r>
        <w:rPr>
          <w:b/>
          <w:color w:val="2C5F44"/>
          <w:sz w:val="28"/>
        </w:rPr>
        <w:t>٧.٢ العلاقات الجوهرية</w:t>
      </w:r>
    </w:p>
    <w:p>
      <w:pPr>
        <w:pStyle w:val="ListBullet"/>
        <w:bidi/>
        <w:spacing w:after="40"/>
        <w:ind w:left="454" w:right="454"/>
        <w:jc w:val="right"/>
      </w:pPr>
      <w:r>
        <w:rPr>
          <w:sz w:val="22"/>
        </w:rPr>
        <w:t>كل عقد تقسيط مرتبط إلزامياً بعقد استثمار واحد</w:t>
      </w:r>
    </w:p>
    <w:p>
      <w:pPr>
        <w:pStyle w:val="ListBullet"/>
        <w:bidi/>
        <w:spacing w:after="40"/>
        <w:ind w:left="454" w:right="454"/>
        <w:jc w:val="right"/>
      </w:pPr>
      <w:r>
        <w:rPr>
          <w:sz w:val="22"/>
        </w:rPr>
        <w:t>كل عقد استثمار مرتبط بمستثمر واحد</w:t>
      </w:r>
    </w:p>
    <w:p>
      <w:pPr>
        <w:pStyle w:val="ListBullet"/>
        <w:bidi/>
        <w:spacing w:after="40"/>
        <w:ind w:left="454" w:right="454"/>
        <w:jc w:val="right"/>
      </w:pPr>
      <w:r>
        <w:rPr>
          <w:sz w:val="22"/>
        </w:rPr>
        <w:t>كل عقد تقسيط مرتبط بعميل واحد</w:t>
      </w:r>
    </w:p>
    <w:p>
      <w:pPr>
        <w:pStyle w:val="ListBullet"/>
        <w:bidi/>
        <w:spacing w:after="40"/>
        <w:ind w:left="454" w:right="454"/>
        <w:jc w:val="right"/>
      </w:pPr>
      <w:r>
        <w:rPr>
          <w:sz w:val="22"/>
        </w:rPr>
        <w:t>كل سند قبض/صرف يحمل نوع طرف واحد فقط (مستثمر، عميل، أخرى)</w:t>
      </w:r>
    </w:p>
    <w:p>
      <w:pPr>
        <w:pStyle w:val="ListBullet"/>
        <w:bidi/>
        <w:spacing w:after="40"/>
        <w:ind w:left="454" w:right="454"/>
        <w:jc w:val="right"/>
      </w:pPr>
      <w:r>
        <w:rPr>
          <w:sz w:val="22"/>
        </w:rPr>
        <w:t>كل حدث توزيع أرباح مرتبط بقسط محدد + عقد تقسيط + عقد استثمار + مستثمر</w:t>
      </w:r>
    </w:p>
    <w:p>
      <w:pPr>
        <w:spacing w:before="240" w:after="80"/>
        <w:jc w:val="right"/>
        <w:bidi/>
      </w:pPr>
      <w:r>
        <w:rPr>
          <w:b/>
          <w:color w:val="2C5F44"/>
          <w:sz w:val="28"/>
        </w:rPr>
        <w:t>٧.٣ القواعد التشغيلية الحاكمة</w:t>
      </w:r>
    </w:p>
    <w:p>
      <w:pPr>
        <w:pStyle w:val="ListBullet"/>
        <w:bidi/>
        <w:spacing w:after="40"/>
        <w:ind w:left="454" w:right="454"/>
        <w:jc w:val="right"/>
      </w:pPr>
      <w:r>
        <w:rPr>
          <w:sz w:val="22"/>
        </w:rPr>
        <w:t>إنشاء عقد استثمار: ينقص رصيد المستثمر بقيمة العقد</w:t>
      </w:r>
    </w:p>
    <w:p>
      <w:pPr>
        <w:pStyle w:val="ListBullet"/>
        <w:bidi/>
        <w:spacing w:after="40"/>
        <w:ind w:left="454" w:right="454"/>
        <w:jc w:val="right"/>
      </w:pPr>
      <w:r>
        <w:rPr>
          <w:sz w:val="22"/>
        </w:rPr>
        <w:t>إنشاء عقد تقسيط: ينقص رأس المال المتاح في عقد الاستثمار بقيمة كاش (لا تقسيطاً)</w:t>
      </w:r>
    </w:p>
    <w:p>
      <w:pPr>
        <w:pStyle w:val="ListBullet"/>
        <w:bidi/>
        <w:spacing w:after="40"/>
        <w:ind w:left="454" w:right="454"/>
        <w:jc w:val="right"/>
      </w:pPr>
      <w:r>
        <w:rPr>
          <w:sz w:val="22"/>
        </w:rPr>
        <w:t>تحصيل قسط: يُنشأ سند قبض تلقائي + توزيع أرباح آلي + تحديث رصيد المستثمر</w:t>
      </w:r>
    </w:p>
    <w:p>
      <w:pPr>
        <w:pStyle w:val="ListBullet"/>
        <w:bidi/>
        <w:spacing w:after="40"/>
        <w:ind w:left="454" w:right="454"/>
        <w:jc w:val="right"/>
      </w:pPr>
      <w:r>
        <w:rPr>
          <w:sz w:val="22"/>
        </w:rPr>
        <w:t>سند قبض بمستثمر: يزيد رصيد المستثمر</w:t>
      </w:r>
    </w:p>
    <w:p>
      <w:pPr>
        <w:pStyle w:val="ListBullet"/>
        <w:bidi/>
        <w:spacing w:after="40"/>
        <w:ind w:left="454" w:right="454"/>
        <w:jc w:val="right"/>
      </w:pPr>
      <w:r>
        <w:rPr>
          <w:sz w:val="22"/>
        </w:rPr>
        <w:t>سند صرف بمستثمر: ينقص رصيد المستثمر</w:t>
      </w:r>
    </w:p>
    <w:p>
      <w:pPr>
        <w:pStyle w:val="ListBullet"/>
        <w:bidi/>
        <w:spacing w:after="40"/>
        <w:ind w:left="454" w:right="454"/>
        <w:jc w:val="right"/>
      </w:pPr>
      <w:r>
        <w:rPr>
          <w:sz w:val="22"/>
        </w:rPr>
        <w:t>السياسة الفعّالة للمستثمر: تخصيصه إن وُجد، وإلا افتراضي المكتب</w:t>
      </w:r>
    </w:p>
    <w:p>
      <w:r>
        <w:br w:type="page"/>
      </w:r>
    </w:p>
    <w:p>
      <w:pPr>
        <w:spacing w:before="360" w:after="120"/>
        <w:jc w:val="right"/>
        <w:bidi/>
      </w:pPr>
      <w:r>
        <w:rPr>
          <w:b/>
          <w:color w:val="2C5F44"/>
          <w:sz w:val="40"/>
        </w:rPr>
        <w:t>٨. رحلات المستخدم الرئيسية</w:t>
      </w:r>
    </w:p>
    <w:p>
      <w:pPr>
        <w:spacing w:before="240" w:after="80"/>
        <w:jc w:val="right"/>
        <w:bidi/>
      </w:pPr>
      <w:r>
        <w:rPr>
          <w:b/>
          <w:color w:val="2C5F44"/>
          <w:sz w:val="28"/>
        </w:rPr>
        <w:t>٨.١ دورة الاستثمار الكاملة</w:t>
      </w:r>
    </w:p>
    <w:p>
      <w:pPr>
        <w:bidi/>
        <w:spacing w:after="80" w:line="336" w:lineRule="auto"/>
        <w:jc w:val="right"/>
      </w:pPr>
      <w:r>
        <w:rPr>
          <w:b w:val="0"/>
          <w:i w:val="0"/>
          <w:sz w:val="22"/>
        </w:rPr>
        <w:t>من إنشاء عقد استثمار إلى توزيع الأرباح آلياً عبر الأقساط:</w:t>
      </w:r>
    </w:p>
    <w:p>
      <w:pPr>
        <w:pStyle w:val="ListBullet"/>
        <w:bidi/>
        <w:spacing w:after="40"/>
        <w:ind w:left="454" w:right="454"/>
        <w:jc w:val="right"/>
      </w:pPr>
      <w:r>
        <w:rPr>
          <w:sz w:val="22"/>
        </w:rPr>
        <w:t>مدير المكتب ينشئ عقد استثمار للمستثمر: 100,000 رأس مال، 30,000 ربح المكتب، 40,000 ربح المستثمر</w:t>
      </w:r>
    </w:p>
    <w:p>
      <w:pPr>
        <w:pStyle w:val="ListBullet"/>
        <w:bidi/>
        <w:spacing w:after="40"/>
        <w:ind w:left="454" w:right="454"/>
        <w:jc w:val="right"/>
      </w:pPr>
      <w:r>
        <w:rPr>
          <w:sz w:val="22"/>
        </w:rPr>
        <w:t>رصيد المستثمر ينقص 100,000 (دفع رأس المال)</w:t>
      </w:r>
    </w:p>
    <w:p>
      <w:pPr>
        <w:pStyle w:val="ListBullet"/>
        <w:bidi/>
        <w:spacing w:after="40"/>
        <w:ind w:left="454" w:right="454"/>
        <w:jc w:val="right"/>
      </w:pPr>
      <w:r>
        <w:rPr>
          <w:sz w:val="22"/>
        </w:rPr>
        <w:t>مدير المكتب ينشئ عقد تقسيط لعميل: قيمة كاش 10,000، تقسيطاً 17,000، 17 قسط × 1,000</w:t>
      </w:r>
    </w:p>
    <w:p>
      <w:pPr>
        <w:pStyle w:val="ListBullet"/>
        <w:bidi/>
        <w:spacing w:after="40"/>
        <w:ind w:left="454" w:right="454"/>
        <w:jc w:val="right"/>
      </w:pPr>
      <w:r>
        <w:rPr>
          <w:sz w:val="22"/>
        </w:rPr>
        <w:t>المتاح في عقد الاستثمار ينقص 10,000 → يصبح 90,000</w:t>
      </w:r>
    </w:p>
    <w:p>
      <w:pPr>
        <w:pStyle w:val="ListBullet"/>
        <w:bidi/>
        <w:spacing w:after="40"/>
        <w:ind w:left="454" w:right="454"/>
        <w:jc w:val="right"/>
      </w:pPr>
      <w:r>
        <w:rPr>
          <w:sz w:val="22"/>
        </w:rPr>
        <w:t>العميل يدفع قسطه الأول (1,000). موظف التحصيل يضغط "دفع"</w:t>
      </w:r>
    </w:p>
    <w:p>
      <w:pPr>
        <w:pStyle w:val="ListBullet"/>
        <w:bidi/>
        <w:spacing w:after="40"/>
        <w:ind w:left="454" w:right="454"/>
        <w:jc w:val="right"/>
      </w:pPr>
      <w:r>
        <w:rPr>
          <w:sz w:val="22"/>
        </w:rPr>
        <w:t>النظام آلياً: ينشئ سند قبض من العميل، يطبق سياسة "المكتب أولاً"، يضع 1,000 في حصة المكتب من هذا التقسيط</w:t>
      </w:r>
    </w:p>
    <w:p>
      <w:pPr>
        <w:pStyle w:val="ListBullet"/>
        <w:bidi/>
        <w:spacing w:after="40"/>
        <w:ind w:left="454" w:right="454"/>
        <w:jc w:val="right"/>
      </w:pPr>
      <w:r>
        <w:rPr>
          <w:sz w:val="22"/>
        </w:rPr>
        <w:t>بعد 3 أقساط: المكتب وصل لحدّه (3,000)، الأقساط 4-17 تذهب للمستثمر</w:t>
      </w:r>
    </w:p>
    <w:p>
      <w:pPr>
        <w:pStyle w:val="ListBullet"/>
        <w:bidi/>
        <w:spacing w:after="40"/>
        <w:ind w:left="454" w:right="454"/>
        <w:jc w:val="right"/>
      </w:pPr>
      <w:r>
        <w:rPr>
          <w:sz w:val="22"/>
        </w:rPr>
        <w:t>مع كل قسط للمستثمر: رصيده يزيد بـ 1,000، أرباحه المحققة تزيد بجزء الربح</w:t>
      </w:r>
    </w:p>
    <w:p>
      <w:pPr>
        <w:spacing w:before="240" w:after="80"/>
        <w:jc w:val="right"/>
        <w:bidi/>
      </w:pPr>
      <w:r>
        <w:rPr>
          <w:b/>
          <w:color w:val="2C5F44"/>
          <w:sz w:val="28"/>
        </w:rPr>
        <w:t>٨.٢ دورة سند صرف لمستثمر</w:t>
      </w:r>
    </w:p>
    <w:p>
      <w:pPr>
        <w:pStyle w:val="ListBullet"/>
        <w:bidi/>
        <w:spacing w:after="40"/>
        <w:ind w:left="454" w:right="454"/>
        <w:jc w:val="right"/>
      </w:pPr>
      <w:r>
        <w:rPr>
          <w:sz w:val="22"/>
        </w:rPr>
        <w:t>موظف المالية يفتح ملف المستثمر</w:t>
      </w:r>
    </w:p>
    <w:p>
      <w:pPr>
        <w:pStyle w:val="ListBullet"/>
        <w:bidi/>
        <w:spacing w:after="40"/>
        <w:ind w:left="454" w:right="454"/>
        <w:jc w:val="right"/>
      </w:pPr>
      <w:r>
        <w:rPr>
          <w:sz w:val="22"/>
        </w:rPr>
        <w:t>يضغط "+ سند صرف" من بطاقة الرصيد</w:t>
      </w:r>
    </w:p>
    <w:p>
      <w:pPr>
        <w:pStyle w:val="ListBullet"/>
        <w:bidi/>
        <w:spacing w:after="40"/>
        <w:ind w:left="454" w:right="454"/>
        <w:jc w:val="right"/>
      </w:pPr>
      <w:r>
        <w:rPr>
          <w:sz w:val="22"/>
        </w:rPr>
        <w:t>النظام يفتح شاشة السند مع المستثمر مختار مسبقاً وحقل الفئة مخفي</w:t>
      </w:r>
    </w:p>
    <w:p>
      <w:pPr>
        <w:pStyle w:val="ListBullet"/>
        <w:bidi/>
        <w:spacing w:after="40"/>
        <w:ind w:left="454" w:right="454"/>
        <w:jc w:val="right"/>
      </w:pPr>
      <w:r>
        <w:rPr>
          <w:sz w:val="22"/>
        </w:rPr>
        <w:t>يدخل: مبلغ، تاريخ، وصف ("توزيع أرباح شهري")</w:t>
      </w:r>
    </w:p>
    <w:p>
      <w:pPr>
        <w:pStyle w:val="ListBullet"/>
        <w:bidi/>
        <w:spacing w:after="40"/>
        <w:ind w:left="454" w:right="454"/>
        <w:jc w:val="right"/>
      </w:pPr>
      <w:r>
        <w:rPr>
          <w:sz w:val="22"/>
        </w:rPr>
        <w:t>عند الحفظ: ينقص رصيد المستثمر بالمبلغ</w:t>
      </w:r>
    </w:p>
    <w:p>
      <w:pPr>
        <w:pStyle w:val="ListBullet"/>
        <w:bidi/>
        <w:spacing w:after="40"/>
        <w:ind w:left="454" w:right="454"/>
        <w:jc w:val="right"/>
      </w:pPr>
      <w:r>
        <w:rPr>
          <w:sz w:val="22"/>
        </w:rPr>
        <w:t>يعود تلقائياً إلى ملف المستثمر</w:t>
      </w:r>
    </w:p>
    <w:p>
      <w:pPr>
        <w:spacing w:before="240" w:after="80"/>
        <w:jc w:val="right"/>
        <w:bidi/>
      </w:pPr>
      <w:r>
        <w:rPr>
          <w:b/>
          <w:color w:val="2C5F44"/>
          <w:sz w:val="28"/>
        </w:rPr>
        <w:t>٨.٣ رحلة الانتقال من نظام قديم</w:t>
      </w:r>
    </w:p>
    <w:p>
      <w:pPr>
        <w:pStyle w:val="ListBullet"/>
        <w:bidi/>
        <w:spacing w:after="40"/>
        <w:ind w:left="454" w:right="454"/>
        <w:jc w:val="right"/>
      </w:pPr>
      <w:r>
        <w:rPr>
          <w:sz w:val="22"/>
        </w:rPr>
        <w:t>مكتب جديد يفتح مُقسِّط لأول مرة، يرى بنر ذهبي على اللوحة</w:t>
      </w:r>
    </w:p>
    <w:p>
      <w:pPr>
        <w:pStyle w:val="ListBullet"/>
        <w:bidi/>
        <w:spacing w:after="40"/>
        <w:ind w:left="454" w:right="454"/>
        <w:jc w:val="right"/>
      </w:pPr>
      <w:r>
        <w:rPr>
          <w:sz w:val="22"/>
        </w:rPr>
        <w:t>يضغط "ابدأ رحلة الانتقال" → يصل إلى /migration</w:t>
      </w:r>
    </w:p>
    <w:p>
      <w:pPr>
        <w:pStyle w:val="ListBullet"/>
        <w:bidi/>
        <w:spacing w:after="40"/>
        <w:ind w:left="454" w:right="454"/>
        <w:jc w:val="right"/>
      </w:pPr>
      <w:r>
        <w:rPr>
          <w:sz w:val="22"/>
        </w:rPr>
        <w:t>يرى الشريط الجانبي بسبع خطوات + بطاقات الخطوات</w:t>
      </w:r>
    </w:p>
    <w:p>
      <w:pPr>
        <w:pStyle w:val="ListBullet"/>
        <w:bidi/>
        <w:spacing w:after="40"/>
        <w:ind w:left="454" w:right="454"/>
        <w:jc w:val="right"/>
      </w:pPr>
      <w:r>
        <w:rPr>
          <w:sz w:val="22"/>
        </w:rPr>
        <w:t>يبدأ بالمستثمرين، يختار "لقطات من نظامك الحالي"</w:t>
      </w:r>
    </w:p>
    <w:p>
      <w:pPr>
        <w:pStyle w:val="ListBullet"/>
        <w:bidi/>
        <w:spacing w:after="40"/>
        <w:ind w:left="454" w:right="454"/>
        <w:jc w:val="right"/>
      </w:pPr>
      <w:r>
        <w:rPr>
          <w:sz w:val="22"/>
        </w:rPr>
        <w:t>يحدث محاكاة تحليل لـ 1.4 ثانية</w:t>
      </w:r>
    </w:p>
    <w:p>
      <w:pPr>
        <w:pStyle w:val="ListBullet"/>
        <w:bidi/>
        <w:spacing w:after="40"/>
        <w:ind w:left="454" w:right="454"/>
        <w:jc w:val="right"/>
      </w:pPr>
      <w:r>
        <w:rPr>
          <w:sz w:val="22"/>
        </w:rPr>
        <w:t>يرى جدول مراجعة بـ 3 مستثمرين + إجمالي 21 خلية: 19 مؤكدة، 1 تحتاج مراجعة، 1 ناقصة</w:t>
      </w:r>
    </w:p>
    <w:p>
      <w:pPr>
        <w:pStyle w:val="ListBullet"/>
        <w:bidi/>
        <w:spacing w:after="40"/>
        <w:ind w:left="454" w:right="454"/>
        <w:jc w:val="right"/>
      </w:pPr>
      <w:r>
        <w:rPr>
          <w:sz w:val="22"/>
        </w:rPr>
        <w:t>يصحّح الخلية الناقصة، يضغط "اعتماد"</w:t>
      </w:r>
    </w:p>
    <w:p>
      <w:pPr>
        <w:pStyle w:val="ListBullet"/>
        <w:bidi/>
        <w:spacing w:after="40"/>
        <w:ind w:left="454" w:right="454"/>
        <w:jc w:val="right"/>
      </w:pPr>
      <w:r>
        <w:rPr>
          <w:sz w:val="22"/>
        </w:rPr>
        <w:t>ينتقل لعقود الاستثمار → يرى بطاقة "هل هذان نفس الشخص؟" يجيب نعم/لا</w:t>
      </w:r>
    </w:p>
    <w:p>
      <w:pPr>
        <w:pStyle w:val="ListBullet"/>
        <w:bidi/>
        <w:spacing w:after="40"/>
        <w:ind w:left="454" w:right="454"/>
        <w:jc w:val="right"/>
      </w:pPr>
      <w:r>
        <w:rPr>
          <w:sz w:val="22"/>
        </w:rPr>
        <w:t>يكمل باقي الخطوات → يصل للمراجعة النهائية → يضغط "اعتماد الانتقال"</w:t>
      </w:r>
    </w:p>
    <w:p>
      <w:pPr>
        <w:pStyle w:val="ListBullet"/>
        <w:bidi/>
        <w:spacing w:after="40"/>
        <w:ind w:left="454" w:right="454"/>
        <w:jc w:val="right"/>
      </w:pPr>
      <w:r>
        <w:rPr>
          <w:sz w:val="22"/>
        </w:rPr>
        <w:t>يرى شاشة احتفال "أهلاً بك في مُقسِّط"، يعود للوحة العمليات (والبنر اختفى)</w:t>
      </w:r>
    </w:p>
    <w:p>
      <w:r>
        <w:br w:type="page"/>
      </w:r>
    </w:p>
    <w:p>
      <w:pPr>
        <w:spacing w:before="360" w:after="120"/>
        <w:jc w:val="right"/>
        <w:bidi/>
      </w:pPr>
      <w:r>
        <w:rPr>
          <w:b/>
          <w:color w:val="2C5F44"/>
          <w:sz w:val="40"/>
        </w:rPr>
        <w:t>٩. المتطلبات غير الوظيفية</w:t>
      </w:r>
    </w:p>
    <w:p>
      <w:pPr>
        <w:spacing w:before="240" w:after="80"/>
        <w:jc w:val="right"/>
        <w:bidi/>
      </w:pPr>
      <w:r>
        <w:rPr>
          <w:b/>
          <w:color w:val="2C5F44"/>
          <w:sz w:val="28"/>
        </w:rPr>
        <w:t>٩.١ اللغة</w:t>
      </w:r>
    </w:p>
    <w:p>
      <w:pPr>
        <w:pStyle w:val="ListBullet"/>
        <w:bidi/>
        <w:spacing w:after="40"/>
        <w:ind w:left="454" w:right="454"/>
        <w:jc w:val="right"/>
      </w:pPr>
      <w:r>
        <w:rPr>
          <w:sz w:val="22"/>
        </w:rPr>
        <w:t>العربية (RTL) افتراضي</w:t>
      </w:r>
    </w:p>
    <w:p>
      <w:pPr>
        <w:pStyle w:val="ListBullet"/>
        <w:bidi/>
        <w:spacing w:after="40"/>
        <w:ind w:left="454" w:right="454"/>
        <w:jc w:val="right"/>
      </w:pPr>
      <w:r>
        <w:rPr>
          <w:sz w:val="22"/>
        </w:rPr>
        <w:t>الإنجليزية كخيار ثانوي كامل</w:t>
      </w:r>
    </w:p>
    <w:p>
      <w:pPr>
        <w:pStyle w:val="ListBullet"/>
        <w:bidi/>
        <w:spacing w:after="40"/>
        <w:ind w:left="454" w:right="454"/>
        <w:jc w:val="right"/>
      </w:pPr>
      <w:r>
        <w:rPr>
          <w:sz w:val="22"/>
        </w:rPr>
        <w:t>التبديل دون فقدان السياق</w:t>
      </w:r>
    </w:p>
    <w:p>
      <w:pPr>
        <w:spacing w:before="240" w:after="80"/>
        <w:jc w:val="right"/>
        <w:bidi/>
      </w:pPr>
      <w:r>
        <w:rPr>
          <w:b/>
          <w:color w:val="2C5F44"/>
          <w:sz w:val="28"/>
        </w:rPr>
        <w:t>٩.٢ التصميم البصري</w:t>
      </w:r>
    </w:p>
    <w:p>
      <w:pPr>
        <w:pStyle w:val="ListBullet"/>
        <w:bidi/>
        <w:spacing w:after="40"/>
        <w:ind w:left="454" w:right="454"/>
        <w:jc w:val="right"/>
      </w:pPr>
      <w:r>
        <w:rPr>
          <w:sz w:val="22"/>
        </w:rPr>
        <w:t>بنكي سعودي حديث</w:t>
      </w:r>
    </w:p>
    <w:p>
      <w:pPr>
        <w:pStyle w:val="ListBullet"/>
        <w:bidi/>
        <w:spacing w:after="40"/>
        <w:ind w:left="454" w:right="454"/>
        <w:jc w:val="right"/>
      </w:pPr>
      <w:r>
        <w:rPr>
          <w:sz w:val="22"/>
        </w:rPr>
        <w:t>أخضر مالي ناعم (Primary)</w:t>
      </w:r>
    </w:p>
    <w:p>
      <w:pPr>
        <w:pStyle w:val="ListBullet"/>
        <w:bidi/>
        <w:spacing w:after="40"/>
        <w:ind w:left="454" w:right="454"/>
        <w:jc w:val="right"/>
      </w:pPr>
      <w:r>
        <w:rPr>
          <w:sz w:val="22"/>
        </w:rPr>
        <w:t>أبيض دافئ (Background)</w:t>
      </w:r>
    </w:p>
    <w:p>
      <w:pPr>
        <w:pStyle w:val="ListBullet"/>
        <w:bidi/>
        <w:spacing w:after="40"/>
        <w:ind w:left="454" w:right="454"/>
        <w:jc w:val="right"/>
      </w:pPr>
      <w:r>
        <w:rPr>
          <w:sz w:val="22"/>
        </w:rPr>
        <w:t>ذهبي خفيف (Accent)</w:t>
      </w:r>
    </w:p>
    <w:p>
      <w:pPr>
        <w:pStyle w:val="ListBullet"/>
        <w:bidi/>
        <w:spacing w:after="40"/>
        <w:ind w:left="454" w:right="454"/>
        <w:jc w:val="right"/>
      </w:pPr>
      <w:r>
        <w:rPr>
          <w:sz w:val="22"/>
        </w:rPr>
        <w:t>خط عربي واضح يدعم الأرقام اللاتينية</w:t>
      </w:r>
    </w:p>
    <w:p>
      <w:pPr>
        <w:spacing w:before="240" w:after="80"/>
        <w:jc w:val="right"/>
        <w:bidi/>
      </w:pPr>
      <w:r>
        <w:rPr>
          <w:b/>
          <w:color w:val="2C5F44"/>
          <w:sz w:val="28"/>
        </w:rPr>
        <w:t>٩.٣ الأجهزة المدعومة</w:t>
      </w:r>
    </w:p>
    <w:p>
      <w:pPr>
        <w:pStyle w:val="ListBullet"/>
        <w:bidi/>
        <w:spacing w:after="40"/>
        <w:ind w:left="454" w:right="454"/>
        <w:jc w:val="right"/>
      </w:pPr>
      <w:r>
        <w:rPr>
          <w:sz w:val="22"/>
        </w:rPr>
        <w:t>Mobile First (390×844 افتراضي)</w:t>
      </w:r>
    </w:p>
    <w:p>
      <w:pPr>
        <w:pStyle w:val="ListBullet"/>
        <w:bidi/>
        <w:spacing w:after="40"/>
        <w:ind w:left="454" w:right="454"/>
        <w:jc w:val="right"/>
      </w:pPr>
      <w:r>
        <w:rPr>
          <w:sz w:val="22"/>
        </w:rPr>
        <w:t>Desktop (1280+ كامل)</w:t>
      </w:r>
    </w:p>
    <w:p>
      <w:pPr>
        <w:pStyle w:val="ListBullet"/>
        <w:bidi/>
        <w:spacing w:after="40"/>
        <w:ind w:left="454" w:right="454"/>
        <w:jc w:val="right"/>
      </w:pPr>
      <w:r>
        <w:rPr>
          <w:sz w:val="22"/>
        </w:rPr>
        <w:t>Tablet (متوسط)</w:t>
      </w:r>
    </w:p>
    <w:p>
      <w:pPr>
        <w:spacing w:before="240" w:after="80"/>
        <w:jc w:val="right"/>
        <w:bidi/>
      </w:pPr>
      <w:r>
        <w:rPr>
          <w:b/>
          <w:color w:val="2C5F44"/>
          <w:sz w:val="28"/>
        </w:rPr>
        <w:t>٩.٤ الأداء (متوقع للإنتاج)</w:t>
      </w:r>
    </w:p>
    <w:p>
      <w:pPr>
        <w:pStyle w:val="ListBullet"/>
        <w:bidi/>
        <w:spacing w:after="40"/>
        <w:ind w:left="454" w:right="454"/>
        <w:jc w:val="right"/>
      </w:pPr>
      <w:r>
        <w:rPr>
          <w:sz w:val="22"/>
        </w:rPr>
        <w:t>شاشة الفتح &lt; 2 ثانية</w:t>
      </w:r>
    </w:p>
    <w:p>
      <w:pPr>
        <w:pStyle w:val="ListBullet"/>
        <w:bidi/>
        <w:spacing w:after="40"/>
        <w:ind w:left="454" w:right="454"/>
        <w:jc w:val="right"/>
      </w:pPr>
      <w:r>
        <w:rPr>
          <w:sz w:val="22"/>
        </w:rPr>
        <w:t>انتقال بين الشاشات &lt; 300ms</w:t>
      </w:r>
    </w:p>
    <w:p>
      <w:pPr>
        <w:pStyle w:val="ListBullet"/>
        <w:bidi/>
        <w:spacing w:after="40"/>
        <w:ind w:left="454" w:right="454"/>
        <w:jc w:val="right"/>
      </w:pPr>
      <w:r>
        <w:rPr>
          <w:sz w:val="22"/>
        </w:rPr>
        <w:t>بحث وفلترة لحظي</w:t>
      </w:r>
    </w:p>
    <w:p>
      <w:pPr>
        <w:spacing w:before="240" w:after="80"/>
        <w:jc w:val="right"/>
        <w:bidi/>
      </w:pPr>
      <w:r>
        <w:rPr>
          <w:b/>
          <w:color w:val="2C5F44"/>
          <w:sz w:val="28"/>
        </w:rPr>
        <w:t>٩.٥ الأمان (متوقع للإنتاج)</w:t>
      </w:r>
    </w:p>
    <w:p>
      <w:pPr>
        <w:pStyle w:val="ListBullet"/>
        <w:bidi/>
        <w:spacing w:after="40"/>
        <w:ind w:left="454" w:right="454"/>
        <w:jc w:val="right"/>
      </w:pPr>
      <w:r>
        <w:rPr>
          <w:sz w:val="22"/>
        </w:rPr>
        <w:t>Multi-tenant — كل مكتب في عزل تام</w:t>
      </w:r>
    </w:p>
    <w:p>
      <w:pPr>
        <w:pStyle w:val="ListBullet"/>
        <w:bidi/>
        <w:spacing w:after="40"/>
        <w:ind w:left="454" w:right="454"/>
        <w:jc w:val="right"/>
      </w:pPr>
      <w:r>
        <w:rPr>
          <w:sz w:val="22"/>
        </w:rPr>
        <w:t>Authentication و Authorization مبني على الأدوار</w:t>
      </w:r>
    </w:p>
    <w:p>
      <w:pPr>
        <w:pStyle w:val="ListBullet"/>
        <w:bidi/>
        <w:spacing w:after="40"/>
        <w:ind w:left="454" w:right="454"/>
        <w:jc w:val="right"/>
      </w:pPr>
      <w:r>
        <w:rPr>
          <w:sz w:val="22"/>
        </w:rPr>
        <w:t>سجل عمليات شامل لكل التغييرات الحساسة</w:t>
      </w:r>
    </w:p>
    <w:p>
      <w:pPr>
        <w:pStyle w:val="ListBullet"/>
        <w:bidi/>
        <w:spacing w:after="40"/>
        <w:ind w:left="454" w:right="454"/>
        <w:jc w:val="right"/>
      </w:pPr>
      <w:r>
        <w:rPr>
          <w:sz w:val="22"/>
        </w:rPr>
        <w:t>تشفير بيانات حساسة (آيبان، أرقام هوية)</w:t>
      </w:r>
    </w:p>
    <w:p>
      <w:pPr>
        <w:pStyle w:val="ListBullet"/>
        <w:bidi/>
        <w:spacing w:after="40"/>
        <w:ind w:left="454" w:right="454"/>
        <w:jc w:val="right"/>
      </w:pPr>
      <w:r>
        <w:rPr>
          <w:sz w:val="22"/>
        </w:rPr>
        <w:t>Auto-approval workflow للمبالغ الكبيرة</w:t>
      </w:r>
    </w:p>
    <w:p>
      <w:r>
        <w:br w:type="page"/>
      </w:r>
    </w:p>
    <w:p>
      <w:pPr>
        <w:spacing w:before="360" w:after="120"/>
        <w:jc w:val="right"/>
        <w:bidi/>
      </w:pPr>
      <w:r>
        <w:rPr>
          <w:b/>
          <w:color w:val="2C5F44"/>
          <w:sz w:val="40"/>
        </w:rPr>
        <w:t>١٠. خارج النطاق</w:t>
      </w:r>
    </w:p>
    <w:p>
      <w:pPr>
        <w:bidi/>
        <w:spacing w:after="80" w:line="336" w:lineRule="auto"/>
        <w:jc w:val="right"/>
      </w:pPr>
      <w:r>
        <w:rPr>
          <w:b w:val="0"/>
          <w:i w:val="0"/>
          <w:sz w:val="22"/>
        </w:rPr>
        <w:t>المنصة منصة تشغيلية، وليست محاسبية. التالي خارج النطاق:</w:t>
      </w:r>
    </w:p>
    <w:p>
      <w:pPr>
        <w:pStyle w:val="ListBullet"/>
        <w:bidi/>
        <w:spacing w:after="40"/>
        <w:ind w:left="454" w:right="454"/>
        <w:jc w:val="right"/>
      </w:pPr>
      <w:r>
        <w:rPr>
          <w:sz w:val="22"/>
        </w:rPr>
        <w:t>دفتر حسابات عام (General Ledger)</w:t>
      </w:r>
    </w:p>
    <w:p>
      <w:pPr>
        <w:pStyle w:val="ListBullet"/>
        <w:bidi/>
        <w:spacing w:after="40"/>
        <w:ind w:left="454" w:right="454"/>
        <w:jc w:val="right"/>
      </w:pPr>
      <w:r>
        <w:rPr>
          <w:sz w:val="22"/>
        </w:rPr>
        <w:t>قيود محاسبية مزدوجة (Double-Entry Bookkeeping)</w:t>
      </w:r>
    </w:p>
    <w:p>
      <w:pPr>
        <w:pStyle w:val="ListBullet"/>
        <w:bidi/>
        <w:spacing w:after="40"/>
        <w:ind w:left="454" w:right="454"/>
        <w:jc w:val="right"/>
      </w:pPr>
      <w:r>
        <w:rPr>
          <w:sz w:val="22"/>
        </w:rPr>
        <w:t>قوائم مالية (Income Statement, Balance Sheet, Cash Flow Statement)</w:t>
      </w:r>
    </w:p>
    <w:p>
      <w:pPr>
        <w:pStyle w:val="ListBullet"/>
        <w:bidi/>
        <w:spacing w:after="40"/>
        <w:ind w:left="454" w:right="454"/>
        <w:jc w:val="right"/>
      </w:pPr>
      <w:r>
        <w:rPr>
          <w:sz w:val="22"/>
        </w:rPr>
        <w:t>شجرة حسابات (Chart of Accounts)</w:t>
      </w:r>
    </w:p>
    <w:p>
      <w:pPr>
        <w:pStyle w:val="ListBullet"/>
        <w:bidi/>
        <w:spacing w:after="40"/>
        <w:ind w:left="454" w:right="454"/>
        <w:jc w:val="right"/>
      </w:pPr>
      <w:r>
        <w:rPr>
          <w:sz w:val="22"/>
        </w:rPr>
        <w:t>تقارير محاسبية معقّدة</w:t>
      </w:r>
    </w:p>
    <w:p>
      <w:pPr>
        <w:pStyle w:val="ListBullet"/>
        <w:bidi/>
        <w:spacing w:after="40"/>
        <w:ind w:left="454" w:right="454"/>
        <w:jc w:val="right"/>
      </w:pPr>
      <w:r>
        <w:rPr>
          <w:sz w:val="22"/>
        </w:rPr>
        <w:t>وحدة ضرائب / VAT</w:t>
      </w:r>
    </w:p>
    <w:p>
      <w:pPr>
        <w:pStyle w:val="ListBullet"/>
        <w:bidi/>
        <w:spacing w:after="40"/>
        <w:ind w:left="454" w:right="454"/>
        <w:jc w:val="right"/>
      </w:pPr>
      <w:r>
        <w:rPr>
          <w:sz w:val="22"/>
        </w:rPr>
        <w:t>مراكز التكلفة (Cost Centers)</w:t>
      </w:r>
    </w:p>
    <w:p>
      <w:pPr>
        <w:pStyle w:val="ListBullet"/>
        <w:bidi/>
        <w:spacing w:after="40"/>
        <w:ind w:left="454" w:right="454"/>
        <w:jc w:val="right"/>
      </w:pPr>
      <w:r>
        <w:rPr>
          <w:sz w:val="22"/>
        </w:rPr>
        <w:t>فئات أرصدة متعددة (Available, Pending, Recyclable, Entitled, Withdrawable)</w:t>
      </w:r>
    </w:p>
    <w:p>
      <w:pPr>
        <w:pStyle w:val="ListBullet"/>
        <w:bidi/>
        <w:spacing w:after="40"/>
        <w:ind w:left="454" w:right="454"/>
        <w:jc w:val="right"/>
      </w:pPr>
      <w:r>
        <w:rPr>
          <w:sz w:val="22"/>
        </w:rPr>
        <w:t>تكامل مباشر مع أنظمة قديمة (المنصة تستخرج من اللقطات، لا تتكامل)</w:t>
      </w:r>
    </w:p>
    <w:p>
      <w:pPr>
        <w:pStyle w:val="ListBullet"/>
        <w:bidi/>
        <w:spacing w:after="40"/>
        <w:ind w:left="454" w:right="454"/>
        <w:jc w:val="right"/>
      </w:pPr>
      <w:r>
        <w:rPr>
          <w:sz w:val="22"/>
        </w:rPr>
        <w:t>OCR حقيقي في النموذج التجريبي (محاكاة فقط)</w:t>
      </w:r>
    </w:p>
    <w:p>
      <w:pPr>
        <w:pStyle w:val="ListBullet"/>
        <w:bidi/>
        <w:spacing w:after="40"/>
        <w:ind w:left="454" w:right="454"/>
        <w:jc w:val="right"/>
      </w:pPr>
      <w:r>
        <w:rPr>
          <w:sz w:val="22"/>
        </w:rPr>
        <w:t>Backend / API في النموذج الحالي (حالة محفوظة في localStorage)</w:t>
      </w:r>
    </w:p>
    <w:p>
      <w:r>
        <w:br w:type="page"/>
      </w:r>
    </w:p>
    <w:p>
      <w:pPr>
        <w:spacing w:before="360" w:after="120"/>
        <w:jc w:val="right"/>
        <w:bidi/>
      </w:pPr>
      <w:r>
        <w:rPr>
          <w:b/>
          <w:color w:val="2C5F44"/>
          <w:sz w:val="40"/>
        </w:rPr>
        <w:t>١١. سجل السبرنتات</w:t>
      </w:r>
    </w:p>
    <w:tbl>
      <w:tblPr>
        <w:tblStyle w:val="LightGrid-Accent1"/>
        <w:tblW w:type="auto" w:w="0"/>
        <w:tblLook w:firstColumn="1" w:firstRow="1" w:lastColumn="0" w:lastRow="0" w:noHBand="0" w:noVBand="1" w:val="04A0"/>
      </w:tblPr>
      <w:tblGrid>
        <w:gridCol w:w="3324"/>
        <w:gridCol w:w="3324"/>
        <w:gridCol w:w="3324"/>
      </w:tblGrid>
      <w:tr>
        <w:tc>
          <w:tcPr>
            <w:tcW w:type="dxa" w:w="3324"/>
          </w:tcPr>
          <w:p>
            <w:pPr>
              <w:bidi/>
              <w:jc w:val="right"/>
            </w:pPr>
            <w:r/>
            <w:r>
              <w:rPr>
                <w:b/>
                <w:color w:val="2C5F44"/>
                <w:sz w:val="21"/>
              </w:rPr>
              <w:t>السبرنت</w:t>
            </w:r>
          </w:p>
        </w:tc>
        <w:tc>
          <w:tcPr>
            <w:tcW w:type="dxa" w:w="3324"/>
          </w:tcPr>
          <w:p>
            <w:pPr>
              <w:bidi/>
              <w:jc w:val="right"/>
            </w:pPr>
            <w:r/>
            <w:r>
              <w:rPr>
                <w:b/>
                <w:color w:val="2C5F44"/>
                <w:sz w:val="21"/>
              </w:rPr>
              <w:t>العنوان</w:t>
            </w:r>
          </w:p>
        </w:tc>
        <w:tc>
          <w:tcPr>
            <w:tcW w:type="dxa" w:w="3324"/>
          </w:tcPr>
          <w:p>
            <w:pPr>
              <w:bidi/>
              <w:jc w:val="right"/>
            </w:pPr>
            <w:r/>
            <w:r>
              <w:rPr>
                <w:b/>
                <w:color w:val="2C5F44"/>
                <w:sz w:val="21"/>
              </w:rPr>
              <w:t>المحتوى الرئيسي</w:t>
            </w:r>
          </w:p>
        </w:tc>
      </w:tr>
      <w:tr>
        <w:tc>
          <w:tcPr>
            <w:tcW w:type="dxa" w:w="3324"/>
          </w:tcPr>
          <w:p>
            <w:pPr>
              <w:bidi/>
              <w:jc w:val="right"/>
            </w:pPr>
            <w:r/>
            <w:r>
              <w:rPr>
                <w:sz w:val="20"/>
              </w:rPr>
              <w:t>سبرنت 1</w:t>
            </w:r>
          </w:p>
        </w:tc>
        <w:tc>
          <w:tcPr>
            <w:tcW w:type="dxa" w:w="3324"/>
          </w:tcPr>
          <w:p>
            <w:pPr>
              <w:bidi/>
              <w:jc w:val="right"/>
            </w:pPr>
            <w:r/>
            <w:r>
              <w:rPr>
                <w:sz w:val="20"/>
              </w:rPr>
              <w:t>الهيكل الأساسي</w:t>
            </w:r>
          </w:p>
        </w:tc>
        <w:tc>
          <w:tcPr>
            <w:tcW w:type="dxa" w:w="3324"/>
          </w:tcPr>
          <w:p>
            <w:pPr>
              <w:bidi/>
              <w:jc w:val="right"/>
            </w:pPr>
            <w:r/>
            <w:r>
              <w:rPr>
                <w:sz w:val="20"/>
              </w:rPr>
              <w:t>Monorepo، Next.js، Tailwind، نظام تصميم سعودي مالي</w:t>
            </w:r>
          </w:p>
        </w:tc>
      </w:tr>
      <w:tr>
        <w:tc>
          <w:tcPr>
            <w:tcW w:type="dxa" w:w="3324"/>
          </w:tcPr>
          <w:p>
            <w:pPr>
              <w:bidi/>
              <w:jc w:val="right"/>
            </w:pPr>
            <w:r/>
            <w:r>
              <w:rPr>
                <w:sz w:val="20"/>
              </w:rPr>
              <w:t>سبرنت 2</w:t>
            </w:r>
          </w:p>
        </w:tc>
        <w:tc>
          <w:tcPr>
            <w:tcW w:type="dxa" w:w="3324"/>
          </w:tcPr>
          <w:p>
            <w:pPr>
              <w:bidi/>
              <w:jc w:val="right"/>
            </w:pPr>
            <w:r/>
            <w:r>
              <w:rPr>
                <w:sz w:val="20"/>
              </w:rPr>
              <w:t>المستثمرون</w:t>
            </w:r>
          </w:p>
        </w:tc>
        <w:tc>
          <w:tcPr>
            <w:tcW w:type="dxa" w:w="3324"/>
          </w:tcPr>
          <w:p>
            <w:pPr>
              <w:bidi/>
              <w:jc w:val="right"/>
            </w:pPr>
            <w:r/>
            <w:r>
              <w:rPr>
                <w:sz w:val="20"/>
              </w:rPr>
              <w:t>قائمة وملف المستثمرين، أنواع الهويات الأربعة</w:t>
            </w:r>
          </w:p>
        </w:tc>
      </w:tr>
      <w:tr>
        <w:tc>
          <w:tcPr>
            <w:tcW w:type="dxa" w:w="3324"/>
          </w:tcPr>
          <w:p>
            <w:pPr>
              <w:bidi/>
              <w:jc w:val="right"/>
            </w:pPr>
            <w:r/>
            <w:r>
              <w:rPr>
                <w:sz w:val="20"/>
              </w:rPr>
              <w:t>سبرنت 3</w:t>
            </w:r>
          </w:p>
        </w:tc>
        <w:tc>
          <w:tcPr>
            <w:tcW w:type="dxa" w:w="3324"/>
          </w:tcPr>
          <w:p>
            <w:pPr>
              <w:bidi/>
              <w:jc w:val="right"/>
            </w:pPr>
            <w:r/>
            <w:r>
              <w:rPr>
                <w:sz w:val="20"/>
              </w:rPr>
              <w:t>العملاء والتقسيط</w:t>
            </w:r>
          </w:p>
        </w:tc>
        <w:tc>
          <w:tcPr>
            <w:tcW w:type="dxa" w:w="3324"/>
          </w:tcPr>
          <w:p>
            <w:pPr>
              <w:bidi/>
              <w:jc w:val="right"/>
            </w:pPr>
            <w:r/>
            <w:r>
              <w:rPr>
                <w:sz w:val="20"/>
              </w:rPr>
              <w:t>العملاء، عقود التقسيط، جدولة الأقساط، رفع إثبات الدفع</w:t>
            </w:r>
          </w:p>
        </w:tc>
      </w:tr>
      <w:tr>
        <w:tc>
          <w:tcPr>
            <w:tcW w:type="dxa" w:w="3324"/>
          </w:tcPr>
          <w:p>
            <w:pPr>
              <w:bidi/>
              <w:jc w:val="right"/>
            </w:pPr>
            <w:r/>
            <w:r>
              <w:rPr>
                <w:sz w:val="20"/>
              </w:rPr>
              <w:t>سبرنت 4</w:t>
            </w:r>
          </w:p>
        </w:tc>
        <w:tc>
          <w:tcPr>
            <w:tcW w:type="dxa" w:w="3324"/>
          </w:tcPr>
          <w:p>
            <w:pPr>
              <w:bidi/>
              <w:jc w:val="right"/>
            </w:pPr>
            <w:r/>
            <w:r>
              <w:rPr>
                <w:sz w:val="20"/>
              </w:rPr>
              <w:t>العمليات</w:t>
            </w:r>
          </w:p>
        </w:tc>
        <w:tc>
          <w:tcPr>
            <w:tcW w:type="dxa" w:w="3324"/>
          </w:tcPr>
          <w:p>
            <w:pPr>
              <w:bidi/>
              <w:jc w:val="right"/>
            </w:pPr>
            <w:r/>
            <w:r>
              <w:rPr>
                <w:sz w:val="20"/>
              </w:rPr>
              <w:t>الموظفون، الأدوار، الموافقات، الإشعارات، سجل العمليات</w:t>
            </w:r>
          </w:p>
        </w:tc>
      </w:tr>
      <w:tr>
        <w:tc>
          <w:tcPr>
            <w:tcW w:type="dxa" w:w="3324"/>
          </w:tcPr>
          <w:p>
            <w:pPr>
              <w:bidi/>
              <w:jc w:val="right"/>
            </w:pPr>
            <w:r/>
            <w:r>
              <w:rPr>
                <w:sz w:val="20"/>
              </w:rPr>
              <w:t>سبرنت 5</w:t>
            </w:r>
          </w:p>
        </w:tc>
        <w:tc>
          <w:tcPr>
            <w:tcW w:type="dxa" w:w="3324"/>
          </w:tcPr>
          <w:p>
            <w:pPr>
              <w:bidi/>
              <w:jc w:val="right"/>
            </w:pPr>
            <w:r/>
            <w:r>
              <w:rPr>
                <w:sz w:val="20"/>
              </w:rPr>
              <w:t>المالية</w:t>
            </w:r>
          </w:p>
        </w:tc>
        <w:tc>
          <w:tcPr>
            <w:tcW w:type="dxa" w:w="3324"/>
          </w:tcPr>
          <w:p>
            <w:pPr>
              <w:bidi/>
              <w:jc w:val="right"/>
            </w:pPr>
            <w:r/>
            <w:r>
              <w:rPr>
                <w:sz w:val="20"/>
              </w:rPr>
              <w:t>السندات، المشتريات، حركة النقدية، دفتر النقدية</w:t>
            </w:r>
          </w:p>
        </w:tc>
      </w:tr>
      <w:tr>
        <w:tc>
          <w:tcPr>
            <w:tcW w:type="dxa" w:w="3324"/>
          </w:tcPr>
          <w:p>
            <w:pPr>
              <w:bidi/>
              <w:jc w:val="right"/>
            </w:pPr>
            <w:r/>
            <w:r>
              <w:rPr>
                <w:sz w:val="20"/>
              </w:rPr>
              <w:t>سبرنت 6</w:t>
            </w:r>
          </w:p>
        </w:tc>
        <w:tc>
          <w:tcPr>
            <w:tcW w:type="dxa" w:w="3324"/>
          </w:tcPr>
          <w:p>
            <w:pPr>
              <w:bidi/>
              <w:jc w:val="right"/>
            </w:pPr>
            <w:r/>
            <w:r>
              <w:rPr>
                <w:sz w:val="20"/>
              </w:rPr>
              <w:t>البوابات</w:t>
            </w:r>
          </w:p>
        </w:tc>
        <w:tc>
          <w:tcPr>
            <w:tcW w:type="dxa" w:w="3324"/>
          </w:tcPr>
          <w:p>
            <w:pPr>
              <w:bidi/>
              <w:jc w:val="right"/>
            </w:pPr>
            <w:r/>
            <w:r>
              <w:rPr>
                <w:sz w:val="20"/>
              </w:rPr>
              <w:t>بوابة المستثمر وبوابة العميل</w:t>
            </w:r>
          </w:p>
        </w:tc>
      </w:tr>
      <w:tr>
        <w:tc>
          <w:tcPr>
            <w:tcW w:type="dxa" w:w="3324"/>
          </w:tcPr>
          <w:p>
            <w:pPr>
              <w:bidi/>
              <w:jc w:val="right"/>
            </w:pPr>
            <w:r/>
            <w:r>
              <w:rPr>
                <w:sz w:val="20"/>
              </w:rPr>
              <w:t>سبرنت 7</w:t>
            </w:r>
          </w:p>
        </w:tc>
        <w:tc>
          <w:tcPr>
            <w:tcW w:type="dxa" w:w="3324"/>
          </w:tcPr>
          <w:p>
            <w:pPr>
              <w:bidi/>
              <w:jc w:val="right"/>
            </w:pPr>
            <w:r/>
            <w:r>
              <w:rPr>
                <w:sz w:val="20"/>
              </w:rPr>
              <w:t>مركز العمليات</w:t>
            </w:r>
          </w:p>
        </w:tc>
        <w:tc>
          <w:tcPr>
            <w:tcW w:type="dxa" w:w="3324"/>
          </w:tcPr>
          <w:p>
            <w:pPr>
              <w:bidi/>
              <w:jc w:val="right"/>
            </w:pPr>
            <w:r/>
            <w:r>
              <w:rPr>
                <w:sz w:val="20"/>
              </w:rPr>
              <w:t>لوحة العمليات الموحَّدة</w:t>
            </w:r>
          </w:p>
        </w:tc>
      </w:tr>
      <w:tr>
        <w:tc>
          <w:tcPr>
            <w:tcW w:type="dxa" w:w="3324"/>
          </w:tcPr>
          <w:p>
            <w:pPr>
              <w:bidi/>
              <w:jc w:val="right"/>
            </w:pPr>
            <w:r/>
            <w:r>
              <w:rPr>
                <w:sz w:val="20"/>
              </w:rPr>
              <w:t>سبرنت 8</w:t>
            </w:r>
          </w:p>
        </w:tc>
        <w:tc>
          <w:tcPr>
            <w:tcW w:type="dxa" w:w="3324"/>
          </w:tcPr>
          <w:p>
            <w:pPr>
              <w:bidi/>
              <w:jc w:val="right"/>
            </w:pPr>
            <w:r/>
            <w:r>
              <w:rPr>
                <w:sz w:val="20"/>
              </w:rPr>
              <w:t>إعدادات المكتب</w:t>
            </w:r>
          </w:p>
        </w:tc>
        <w:tc>
          <w:tcPr>
            <w:tcW w:type="dxa" w:w="3324"/>
          </w:tcPr>
          <w:p>
            <w:pPr>
              <w:bidi/>
              <w:jc w:val="right"/>
            </w:pPr>
            <w:r/>
            <w:r>
              <w:rPr>
                <w:sz w:val="20"/>
              </w:rPr>
              <w:t>الست بطاقات: الهوية، الاتصال، الحسابات البنكية، الاستثمار، السياسة، الإشعارات</w:t>
            </w:r>
          </w:p>
        </w:tc>
      </w:tr>
      <w:tr>
        <w:tc>
          <w:tcPr>
            <w:tcW w:type="dxa" w:w="3324"/>
          </w:tcPr>
          <w:p>
            <w:pPr>
              <w:bidi/>
              <w:jc w:val="right"/>
            </w:pPr>
            <w:r/>
            <w:r>
              <w:rPr>
                <w:sz w:val="20"/>
              </w:rPr>
              <w:t>سبرنت 9</w:t>
            </w:r>
          </w:p>
        </w:tc>
        <w:tc>
          <w:tcPr>
            <w:tcW w:type="dxa" w:w="3324"/>
          </w:tcPr>
          <w:p>
            <w:pPr>
              <w:bidi/>
              <w:jc w:val="right"/>
            </w:pPr>
            <w:r/>
            <w:r>
              <w:rPr>
                <w:sz w:val="20"/>
              </w:rPr>
              <w:t>مساحة المستثمر</w:t>
            </w:r>
          </w:p>
        </w:tc>
        <w:tc>
          <w:tcPr>
            <w:tcW w:type="dxa" w:w="3324"/>
          </w:tcPr>
          <w:p>
            <w:pPr>
              <w:bidi/>
              <w:jc w:val="right"/>
            </w:pPr>
            <w:r/>
            <w:r>
              <w:rPr>
                <w:sz w:val="20"/>
              </w:rPr>
              <w:t>النموذج رباعي الـ KPIs، إزالة فئات الأرصدة الثانوية</w:t>
            </w:r>
          </w:p>
        </w:tc>
      </w:tr>
      <w:tr>
        <w:tc>
          <w:tcPr>
            <w:tcW w:type="dxa" w:w="3324"/>
          </w:tcPr>
          <w:p>
            <w:pPr>
              <w:bidi/>
              <w:jc w:val="right"/>
            </w:pPr>
            <w:r/>
            <w:r>
              <w:rPr>
                <w:sz w:val="20"/>
              </w:rPr>
              <w:t>سبرنت 10</w:t>
            </w:r>
          </w:p>
        </w:tc>
        <w:tc>
          <w:tcPr>
            <w:tcW w:type="dxa" w:w="3324"/>
          </w:tcPr>
          <w:p>
            <w:pPr>
              <w:bidi/>
              <w:jc w:val="right"/>
            </w:pPr>
            <w:r/>
            <w:r>
              <w:rPr>
                <w:sz w:val="20"/>
              </w:rPr>
              <w:t>رصيد المستثمر والسندات</w:t>
            </w:r>
          </w:p>
        </w:tc>
        <w:tc>
          <w:tcPr>
            <w:tcW w:type="dxa" w:w="3324"/>
          </w:tcPr>
          <w:p>
            <w:pPr>
              <w:bidi/>
              <w:jc w:val="right"/>
            </w:pPr>
            <w:r/>
            <w:r>
              <w:rPr>
                <w:sz w:val="20"/>
              </w:rPr>
              <w:t>النموذج الموحّد للسندات + رصيد المستثمر + الإنشاء التلقائي من الأقساط</w:t>
            </w:r>
          </w:p>
        </w:tc>
      </w:tr>
      <w:tr>
        <w:tc>
          <w:tcPr>
            <w:tcW w:type="dxa" w:w="3324"/>
          </w:tcPr>
          <w:p>
            <w:pPr>
              <w:bidi/>
              <w:jc w:val="right"/>
            </w:pPr>
            <w:r/>
            <w:r>
              <w:rPr>
                <w:sz w:val="20"/>
              </w:rPr>
              <w:t>سبرنت 11</w:t>
            </w:r>
          </w:p>
        </w:tc>
        <w:tc>
          <w:tcPr>
            <w:tcW w:type="dxa" w:w="3324"/>
          </w:tcPr>
          <w:p>
            <w:pPr>
              <w:bidi/>
              <w:jc w:val="right"/>
            </w:pPr>
            <w:r/>
            <w:r>
              <w:rPr>
                <w:sz w:val="20"/>
              </w:rPr>
              <w:t>توزيع الأرباح</w:t>
            </w:r>
          </w:p>
        </w:tc>
        <w:tc>
          <w:tcPr>
            <w:tcW w:type="dxa" w:w="3324"/>
          </w:tcPr>
          <w:p>
            <w:pPr>
              <w:bidi/>
              <w:jc w:val="right"/>
            </w:pPr>
            <w:r/>
            <w:r>
              <w:rPr>
                <w:sz w:val="20"/>
              </w:rPr>
              <w:t>السياسات الثلاث + التطبيق التلقائي + خصم رأس المال من قيمة كاش</w:t>
            </w:r>
          </w:p>
        </w:tc>
      </w:tr>
      <w:tr>
        <w:tc>
          <w:tcPr>
            <w:tcW w:type="dxa" w:w="3324"/>
          </w:tcPr>
          <w:p>
            <w:pPr>
              <w:bidi/>
              <w:jc w:val="right"/>
            </w:pPr>
            <w:r/>
            <w:r>
              <w:rPr>
                <w:sz w:val="20"/>
              </w:rPr>
              <w:t>سبرنت 12</w:t>
            </w:r>
          </w:p>
        </w:tc>
        <w:tc>
          <w:tcPr>
            <w:tcW w:type="dxa" w:w="3324"/>
          </w:tcPr>
          <w:p>
            <w:pPr>
              <w:bidi/>
              <w:jc w:val="right"/>
            </w:pPr>
            <w:r/>
            <w:r>
              <w:rPr>
                <w:sz w:val="20"/>
              </w:rPr>
              <w:t>الانتقال إلى مُقسِّط</w:t>
            </w:r>
          </w:p>
        </w:tc>
        <w:tc>
          <w:tcPr>
            <w:tcW w:type="dxa" w:w="3324"/>
          </w:tcPr>
          <w:p>
            <w:pPr>
              <w:bidi/>
              <w:jc w:val="right"/>
            </w:pPr>
            <w:r/>
            <w:r>
              <w:rPr>
                <w:sz w:val="20"/>
              </w:rPr>
              <w:t>الرحلة الموجَّهة بسبع خطوات + خمسة أنواع ملفات + الربط الذكي</w:t>
            </w:r>
          </w:p>
        </w:tc>
      </w:tr>
    </w:tbl>
    <w:p>
      <w:r>
        <w:br w:type="page"/>
      </w:r>
    </w:p>
    <w:p>
      <w:pPr>
        <w:spacing w:before="360" w:after="120"/>
        <w:jc w:val="right"/>
        <w:bidi/>
      </w:pPr>
      <w:r>
        <w:rPr>
          <w:b/>
          <w:color w:val="2C5F44"/>
          <w:sz w:val="40"/>
        </w:rPr>
        <w:t>١٢. المصطلحات</w:t>
      </w:r>
    </w:p>
    <w:tbl>
      <w:tblPr>
        <w:tblStyle w:val="LightGrid-Accent1"/>
        <w:tblW w:type="auto" w:w="0"/>
        <w:tblLook w:firstColumn="1" w:firstRow="1" w:lastColumn="0" w:lastRow="0" w:noHBand="0" w:noVBand="1" w:val="04A0"/>
      </w:tblPr>
      <w:tblGrid>
        <w:gridCol w:w="4986"/>
        <w:gridCol w:w="4986"/>
      </w:tblGrid>
      <w:tr>
        <w:tc>
          <w:tcPr>
            <w:tcW w:type="dxa" w:w="4986"/>
          </w:tcPr>
          <w:p>
            <w:pPr>
              <w:bidi/>
              <w:jc w:val="right"/>
            </w:pPr>
            <w:r/>
            <w:r>
              <w:rPr>
                <w:b/>
                <w:color w:val="2C5F44"/>
                <w:sz w:val="21"/>
              </w:rPr>
              <w:t>المصطلح</w:t>
            </w:r>
          </w:p>
        </w:tc>
        <w:tc>
          <w:tcPr>
            <w:tcW w:type="dxa" w:w="4986"/>
          </w:tcPr>
          <w:p>
            <w:pPr>
              <w:bidi/>
              <w:jc w:val="right"/>
            </w:pPr>
            <w:r/>
            <w:r>
              <w:rPr>
                <w:b/>
                <w:color w:val="2C5F44"/>
                <w:sz w:val="21"/>
              </w:rPr>
              <w:t>التعريف</w:t>
            </w:r>
          </w:p>
        </w:tc>
      </w:tr>
      <w:tr>
        <w:tc>
          <w:tcPr>
            <w:tcW w:type="dxa" w:w="4986"/>
          </w:tcPr>
          <w:p>
            <w:pPr>
              <w:bidi/>
              <w:jc w:val="right"/>
            </w:pPr>
            <w:r/>
            <w:r>
              <w:rPr>
                <w:sz w:val="20"/>
              </w:rPr>
              <w:t>مستثمر داخلي</w:t>
            </w:r>
          </w:p>
        </w:tc>
        <w:tc>
          <w:tcPr>
            <w:tcW w:type="dxa" w:w="4986"/>
          </w:tcPr>
          <w:p>
            <w:pPr>
              <w:bidi/>
              <w:jc w:val="right"/>
            </w:pPr>
            <w:r/>
            <w:r>
              <w:rPr>
                <w:sz w:val="20"/>
              </w:rPr>
              <w:t>المكتب نفسه يموّل بضائعه — حساب مستقل بنسبة ربح صفر</w:t>
            </w:r>
          </w:p>
        </w:tc>
      </w:tr>
      <w:tr>
        <w:tc>
          <w:tcPr>
            <w:tcW w:type="dxa" w:w="4986"/>
          </w:tcPr>
          <w:p>
            <w:pPr>
              <w:bidi/>
              <w:jc w:val="right"/>
            </w:pPr>
            <w:r/>
            <w:r>
              <w:rPr>
                <w:sz w:val="20"/>
              </w:rPr>
              <w:t>مستثمر خارجي</w:t>
            </w:r>
          </w:p>
        </w:tc>
        <w:tc>
          <w:tcPr>
            <w:tcW w:type="dxa" w:w="4986"/>
          </w:tcPr>
          <w:p>
            <w:pPr>
              <w:bidi/>
              <w:jc w:val="right"/>
            </w:pPr>
            <w:r/>
            <w:r>
              <w:rPr>
                <w:sz w:val="20"/>
              </w:rPr>
              <w:t>شخص أو شركة يموّل بضائع المكتب مقابل حصة ربح</w:t>
            </w:r>
          </w:p>
        </w:tc>
      </w:tr>
      <w:tr>
        <w:tc>
          <w:tcPr>
            <w:tcW w:type="dxa" w:w="4986"/>
          </w:tcPr>
          <w:p>
            <w:pPr>
              <w:bidi/>
              <w:jc w:val="right"/>
            </w:pPr>
            <w:r/>
            <w:r>
              <w:rPr>
                <w:sz w:val="20"/>
              </w:rPr>
              <w:t>عقد استثمار</w:t>
            </w:r>
          </w:p>
        </w:tc>
        <w:tc>
          <w:tcPr>
            <w:tcW w:type="dxa" w:w="4986"/>
          </w:tcPr>
          <w:p>
            <w:pPr>
              <w:bidi/>
              <w:jc w:val="right"/>
            </w:pPr>
            <w:r/>
            <w:r>
              <w:rPr>
                <w:sz w:val="20"/>
              </w:rPr>
              <w:t>اتفاق رأس مال بين المكتب والمستثمر مع تحديد ربح كل طرف</w:t>
            </w:r>
          </w:p>
        </w:tc>
      </w:tr>
      <w:tr>
        <w:tc>
          <w:tcPr>
            <w:tcW w:type="dxa" w:w="4986"/>
          </w:tcPr>
          <w:p>
            <w:pPr>
              <w:bidi/>
              <w:jc w:val="right"/>
            </w:pPr>
            <w:r/>
            <w:r>
              <w:rPr>
                <w:sz w:val="20"/>
              </w:rPr>
              <w:t>عقد تقسيط</w:t>
            </w:r>
          </w:p>
        </w:tc>
        <w:tc>
          <w:tcPr>
            <w:tcW w:type="dxa" w:w="4986"/>
          </w:tcPr>
          <w:p>
            <w:pPr>
              <w:bidi/>
              <w:jc w:val="right"/>
            </w:pPr>
            <w:r/>
            <w:r>
              <w:rPr>
                <w:sz w:val="20"/>
              </w:rPr>
              <w:t>بيع سلعة لعميل بالتقسيط، مموَّل من عقد استثمار</w:t>
            </w:r>
          </w:p>
        </w:tc>
      </w:tr>
      <w:tr>
        <w:tc>
          <w:tcPr>
            <w:tcW w:type="dxa" w:w="4986"/>
          </w:tcPr>
          <w:p>
            <w:pPr>
              <w:bidi/>
              <w:jc w:val="right"/>
            </w:pPr>
            <w:r/>
            <w:r>
              <w:rPr>
                <w:sz w:val="20"/>
              </w:rPr>
              <w:t>قيمة كاش</w:t>
            </w:r>
          </w:p>
        </w:tc>
        <w:tc>
          <w:tcPr>
            <w:tcW w:type="dxa" w:w="4986"/>
          </w:tcPr>
          <w:p>
            <w:pPr>
              <w:bidi/>
              <w:jc w:val="right"/>
            </w:pPr>
            <w:r/>
            <w:r>
              <w:rPr>
                <w:sz w:val="20"/>
              </w:rPr>
              <w:t>تكلفة السلعة الفعلية (التي يدفعها المكتب للمورّد)</w:t>
            </w:r>
          </w:p>
        </w:tc>
      </w:tr>
      <w:tr>
        <w:tc>
          <w:tcPr>
            <w:tcW w:type="dxa" w:w="4986"/>
          </w:tcPr>
          <w:p>
            <w:pPr>
              <w:bidi/>
              <w:jc w:val="right"/>
            </w:pPr>
            <w:r/>
            <w:r>
              <w:rPr>
                <w:sz w:val="20"/>
              </w:rPr>
              <w:t>قيمة تقسيطاً</w:t>
            </w:r>
          </w:p>
        </w:tc>
        <w:tc>
          <w:tcPr>
            <w:tcW w:type="dxa" w:w="4986"/>
          </w:tcPr>
          <w:p>
            <w:pPr>
              <w:bidi/>
              <w:jc w:val="right"/>
            </w:pPr>
            <w:r/>
            <w:r>
              <w:rPr>
                <w:sz w:val="20"/>
              </w:rPr>
              <w:t>إجمالي ما سيدفعه العميل عبر الأقساط</w:t>
            </w:r>
          </w:p>
        </w:tc>
      </w:tr>
      <w:tr>
        <w:tc>
          <w:tcPr>
            <w:tcW w:type="dxa" w:w="4986"/>
          </w:tcPr>
          <w:p>
            <w:pPr>
              <w:bidi/>
              <w:jc w:val="right"/>
            </w:pPr>
            <w:r/>
            <w:r>
              <w:rPr>
                <w:sz w:val="20"/>
              </w:rPr>
              <w:t>ربح التقسيط</w:t>
            </w:r>
          </w:p>
        </w:tc>
        <w:tc>
          <w:tcPr>
            <w:tcW w:type="dxa" w:w="4986"/>
          </w:tcPr>
          <w:p>
            <w:pPr>
              <w:bidi/>
              <w:jc w:val="right"/>
            </w:pPr>
            <w:r/>
            <w:r>
              <w:rPr>
                <w:sz w:val="20"/>
              </w:rPr>
              <w:t>الفرق بين قيمة كاش وقيمة تقسيطاً</w:t>
            </w:r>
          </w:p>
        </w:tc>
      </w:tr>
      <w:tr>
        <w:tc>
          <w:tcPr>
            <w:tcW w:type="dxa" w:w="4986"/>
          </w:tcPr>
          <w:p>
            <w:pPr>
              <w:bidi/>
              <w:jc w:val="right"/>
            </w:pPr>
            <w:r/>
            <w:r>
              <w:rPr>
                <w:sz w:val="20"/>
              </w:rPr>
              <w:t>سياسة المكتب أولاً</w:t>
            </w:r>
          </w:p>
        </w:tc>
        <w:tc>
          <w:tcPr>
            <w:tcW w:type="dxa" w:w="4986"/>
          </w:tcPr>
          <w:p>
            <w:pPr>
              <w:bidi/>
              <w:jc w:val="right"/>
            </w:pPr>
            <w:r/>
            <w:r>
              <w:rPr>
                <w:sz w:val="20"/>
              </w:rPr>
              <w:t>كل قسط يذهب بالكامل للمكتب حتى يكتمل ربحه، ثم للمستثمر</w:t>
            </w:r>
          </w:p>
        </w:tc>
      </w:tr>
      <w:tr>
        <w:tc>
          <w:tcPr>
            <w:tcW w:type="dxa" w:w="4986"/>
          </w:tcPr>
          <w:p>
            <w:pPr>
              <w:bidi/>
              <w:jc w:val="right"/>
            </w:pPr>
            <w:r/>
            <w:r>
              <w:rPr>
                <w:sz w:val="20"/>
              </w:rPr>
              <w:t>سياسة المستثمر أولاً</w:t>
            </w:r>
          </w:p>
        </w:tc>
        <w:tc>
          <w:tcPr>
            <w:tcW w:type="dxa" w:w="4986"/>
          </w:tcPr>
          <w:p>
            <w:pPr>
              <w:bidi/>
              <w:jc w:val="right"/>
            </w:pPr>
            <w:r/>
            <w:r>
              <w:rPr>
                <w:sz w:val="20"/>
              </w:rPr>
              <w:t>كل قسط يذهب بالكامل للمستثمر حتى يكتمل، ثم للمكتب</w:t>
            </w:r>
          </w:p>
        </w:tc>
      </w:tr>
      <w:tr>
        <w:tc>
          <w:tcPr>
            <w:tcW w:type="dxa" w:w="4986"/>
          </w:tcPr>
          <w:p>
            <w:pPr>
              <w:bidi/>
              <w:jc w:val="right"/>
            </w:pPr>
            <w:r/>
            <w:r>
              <w:rPr>
                <w:sz w:val="20"/>
              </w:rPr>
              <w:t>سياسة بالتساوي</w:t>
            </w:r>
          </w:p>
        </w:tc>
        <w:tc>
          <w:tcPr>
            <w:tcW w:type="dxa" w:w="4986"/>
          </w:tcPr>
          <w:p>
            <w:pPr>
              <w:bidi/>
              <w:jc w:val="right"/>
            </w:pPr>
            <w:r/>
            <w:r>
              <w:rPr>
                <w:sz w:val="20"/>
              </w:rPr>
              <w:t>كل قسط يُقسَّم فوراً بنسبة الحصص</w:t>
            </w:r>
          </w:p>
        </w:tc>
      </w:tr>
      <w:tr>
        <w:tc>
          <w:tcPr>
            <w:tcW w:type="dxa" w:w="4986"/>
          </w:tcPr>
          <w:p>
            <w:pPr>
              <w:bidi/>
              <w:jc w:val="right"/>
            </w:pPr>
            <w:r/>
            <w:r>
              <w:rPr>
                <w:sz w:val="20"/>
              </w:rPr>
              <w:t>رصيد المستثمر</w:t>
            </w:r>
          </w:p>
        </w:tc>
        <w:tc>
          <w:tcPr>
            <w:tcW w:type="dxa" w:w="4986"/>
          </w:tcPr>
          <w:p>
            <w:pPr>
              <w:bidi/>
              <w:jc w:val="right"/>
            </w:pPr>
            <w:r/>
            <w:r>
              <w:rPr>
                <w:sz w:val="20"/>
              </w:rPr>
              <w:t>الرقم الوحيد المرئي — كم لدى المستثمر في المكتب الآن</w:t>
            </w:r>
          </w:p>
        </w:tc>
      </w:tr>
      <w:tr>
        <w:tc>
          <w:tcPr>
            <w:tcW w:type="dxa" w:w="4986"/>
          </w:tcPr>
          <w:p>
            <w:pPr>
              <w:bidi/>
              <w:jc w:val="right"/>
            </w:pPr>
            <w:r/>
            <w:r>
              <w:rPr>
                <w:sz w:val="20"/>
              </w:rPr>
              <w:t>أرباح المستثمر</w:t>
            </w:r>
          </w:p>
        </w:tc>
        <w:tc>
          <w:tcPr>
            <w:tcW w:type="dxa" w:w="4986"/>
          </w:tcPr>
          <w:p>
            <w:pPr>
              <w:bidi/>
              <w:jc w:val="right"/>
            </w:pPr>
            <w:r/>
            <w:r>
              <w:rPr>
                <w:sz w:val="20"/>
              </w:rPr>
              <w:t>إجمالي ما حققه المستثمر من ربح تاريخياً</w:t>
            </w:r>
          </w:p>
        </w:tc>
      </w:tr>
      <w:tr>
        <w:tc>
          <w:tcPr>
            <w:tcW w:type="dxa" w:w="4986"/>
          </w:tcPr>
          <w:p>
            <w:pPr>
              <w:bidi/>
              <w:jc w:val="right"/>
            </w:pPr>
            <w:r/>
            <w:r>
              <w:rPr>
                <w:sz w:val="20"/>
              </w:rPr>
              <w:t>سند قبض</w:t>
            </w:r>
          </w:p>
        </w:tc>
        <w:tc>
          <w:tcPr>
            <w:tcW w:type="dxa" w:w="4986"/>
          </w:tcPr>
          <w:p>
            <w:pPr>
              <w:bidi/>
              <w:jc w:val="right"/>
            </w:pPr>
            <w:r/>
            <w:r>
              <w:rPr>
                <w:sz w:val="20"/>
              </w:rPr>
              <w:t>سند لكل مبلغ يدخل المكتب</w:t>
            </w:r>
          </w:p>
        </w:tc>
      </w:tr>
      <w:tr>
        <w:tc>
          <w:tcPr>
            <w:tcW w:type="dxa" w:w="4986"/>
          </w:tcPr>
          <w:p>
            <w:pPr>
              <w:bidi/>
              <w:jc w:val="right"/>
            </w:pPr>
            <w:r/>
            <w:r>
              <w:rPr>
                <w:sz w:val="20"/>
              </w:rPr>
              <w:t>سند صرف</w:t>
            </w:r>
          </w:p>
        </w:tc>
        <w:tc>
          <w:tcPr>
            <w:tcW w:type="dxa" w:w="4986"/>
          </w:tcPr>
          <w:p>
            <w:pPr>
              <w:bidi/>
              <w:jc w:val="right"/>
            </w:pPr>
            <w:r/>
            <w:r>
              <w:rPr>
                <w:sz w:val="20"/>
              </w:rPr>
              <w:t>سند لكل مبلغ يخرج من المكتب</w:t>
            </w:r>
          </w:p>
        </w:tc>
      </w:tr>
      <w:tr>
        <w:tc>
          <w:tcPr>
            <w:tcW w:type="dxa" w:w="4986"/>
          </w:tcPr>
          <w:p>
            <w:pPr>
              <w:bidi/>
              <w:jc w:val="right"/>
            </w:pPr>
            <w:r/>
            <w:r>
              <w:rPr>
                <w:sz w:val="20"/>
              </w:rPr>
              <w:t>نوع الطرف</w:t>
            </w:r>
          </w:p>
        </w:tc>
        <w:tc>
          <w:tcPr>
            <w:tcW w:type="dxa" w:w="4986"/>
          </w:tcPr>
          <w:p>
            <w:pPr>
              <w:bidi/>
              <w:jc w:val="right"/>
            </w:pPr>
            <w:r/>
            <w:r>
              <w:rPr>
                <w:sz w:val="20"/>
              </w:rPr>
              <w:t>مستثمر، عميل، أو أخرى — يميّز السندات</w:t>
            </w:r>
          </w:p>
        </w:tc>
      </w:tr>
      <w:tr>
        <w:tc>
          <w:tcPr>
            <w:tcW w:type="dxa" w:w="4986"/>
          </w:tcPr>
          <w:p>
            <w:pPr>
              <w:bidi/>
              <w:jc w:val="right"/>
            </w:pPr>
            <w:r/>
            <w:r>
              <w:rPr>
                <w:sz w:val="20"/>
              </w:rPr>
              <w:t>إعادة تشغيل</w:t>
            </w:r>
          </w:p>
        </w:tc>
        <w:tc>
          <w:tcPr>
            <w:tcW w:type="dxa" w:w="4986"/>
          </w:tcPr>
          <w:p>
            <w:pPr>
              <w:bidi/>
              <w:jc w:val="right"/>
            </w:pPr>
            <w:r/>
            <w:r>
              <w:rPr>
                <w:sz w:val="20"/>
              </w:rPr>
              <w:t>إنشاء عقد استثمار جديد من رصيد المستثمر الحالي</w:t>
            </w:r>
          </w:p>
        </w:tc>
      </w:tr>
      <w:tr>
        <w:tc>
          <w:tcPr>
            <w:tcW w:type="dxa" w:w="4986"/>
          </w:tcPr>
          <w:p>
            <w:pPr>
              <w:bidi/>
              <w:jc w:val="right"/>
            </w:pPr>
            <w:r/>
            <w:r>
              <w:rPr>
                <w:sz w:val="20"/>
              </w:rPr>
              <w:t>الانتقال إلى مُقسِّط</w:t>
            </w:r>
          </w:p>
        </w:tc>
        <w:tc>
          <w:tcPr>
            <w:tcW w:type="dxa" w:w="4986"/>
          </w:tcPr>
          <w:p>
            <w:pPr>
              <w:bidi/>
              <w:jc w:val="right"/>
            </w:pPr>
            <w:r/>
            <w:r>
              <w:rPr>
                <w:sz w:val="20"/>
              </w:rPr>
              <w:t>رحلة نقل بيانات المكتب القديمة إلى النظام</w:t>
            </w:r>
          </w:p>
        </w:tc>
      </w:tr>
    </w:tbl>
    <w:sectPr w:rsidR="00FC693F" w:rsidRPr="0006063C"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4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