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WELLNEST بيت العافية</w:t>
      </w:r>
    </w:p>
    <w:p>
      <w:pPr>
        <w:jc w:val="center"/>
      </w:pPr>
      <w:r>
        <w:rPr>
          <w:b/>
          <w:sz w:val="32"/>
        </w:rPr>
        <w:t>Personalized Nutrition Calculation Engine</w:t>
      </w:r>
    </w:p>
    <w:p>
      <w:pPr>
        <w:jc w:val="center"/>
      </w:pPr>
      <w:r>
        <w:rPr>
          <w:i/>
        </w:rPr>
        <w:t>Developer-ready specification: inputs → equations → decision rules → outputs</w:t>
      </w:r>
    </w:p>
    <w:p>
      <w:pPr>
        <w:pStyle w:val="Heading1"/>
      </w:pPr>
      <w:r>
        <w:t>1. Purpose</w:t>
      </w:r>
    </w:p>
    <w:p>
      <w:r>
        <w:t>This document defines the calculation framework for an automated meal-plan system covering weight loss, maintenance, weight gain, fat loss, muscle gain, pregnancy, breastfeeding, children, teenagers, diabetes and selected chronic-condition pathways. The equations create a nutritional framework; they do not diagnose disease or replace individualized clinical care.</w:t>
      </w:r>
    </w:p>
    <w:p>
      <w:pPr>
        <w:pStyle w:val="Heading1"/>
      </w:pPr>
      <w:r>
        <w:t>2. Master workflow</w:t>
      </w:r>
    </w:p>
    <w:p>
      <w:r>
        <w:t>QUESTIONNAIRE → PATIENT CLASSIFICATION → ENERGY REQUIREMENT → GOAL ADJUSTMENT → MACROS → FIBER/WATER → MEDICAL MODIFIERS → MEAL DISTRIBUTION → FOOD DATABASE → MEAL BUILDER → 7-DAY PLAN → PAYMENT → 30-DAY PLAN → SHOPPING LIST → MONITORING/ADJUSTMENT</w:t>
      </w:r>
    </w:p>
    <w:p>
      <w:pPr>
        <w:pStyle w:val="Heading1"/>
      </w:pPr>
      <w:r>
        <w:t>3. Questionnaire inputs</w:t>
      </w:r>
    </w:p>
    <w:tbl>
      <w:tblPr>
        <w:tblStyle w:val="TableGrid"/>
        <w:tblW w:type="auto" w:w="0"/>
        <w:jc w:val="center"/>
        <w:tblLook w:firstColumn="1" w:firstRow="1" w:lastColumn="0" w:lastRow="0" w:noHBand="0" w:noVBand="1" w:val="04A0"/>
      </w:tblPr>
      <w:tblGrid>
        <w:gridCol w:w="5112"/>
        <w:gridCol w:w="5112"/>
      </w:tblGrid>
      <w:tr>
        <w:tc>
          <w:tcPr>
            <w:tcW w:type="dxa" w:w="5112"/>
          </w:tcPr>
          <w:p>
            <w:r>
              <w:t>Input group</w:t>
            </w:r>
          </w:p>
        </w:tc>
        <w:tc>
          <w:tcPr>
            <w:tcW w:type="dxa" w:w="5112"/>
          </w:tcPr>
          <w:p>
            <w:r>
              <w:t>Required data</w:t>
            </w:r>
          </w:p>
        </w:tc>
      </w:tr>
      <w:tr>
        <w:tc>
          <w:tcPr>
            <w:tcW w:type="dxa" w:w="5112"/>
          </w:tcPr>
          <w:p>
            <w:r>
              <w:t>Demographics</w:t>
            </w:r>
          </w:p>
        </w:tc>
        <w:tc>
          <w:tcPr>
            <w:tcW w:type="dxa" w:w="5112"/>
          </w:tcPr>
          <w:p>
            <w:r>
              <w:t>Age, sex, height (cm), weight (kg)</w:t>
            </w:r>
          </w:p>
        </w:tc>
      </w:tr>
      <w:tr>
        <w:tc>
          <w:tcPr>
            <w:tcW w:type="dxa" w:w="5112"/>
          </w:tcPr>
          <w:p>
            <w:r>
              <w:t>Activity</w:t>
            </w:r>
          </w:p>
        </w:tc>
        <w:tc>
          <w:tcPr>
            <w:tcW w:type="dxa" w:w="5112"/>
          </w:tcPr>
          <w:p>
            <w:r>
              <w:t>Activity category; exercise type/frequency/duration</w:t>
            </w:r>
          </w:p>
        </w:tc>
      </w:tr>
      <w:tr>
        <w:tc>
          <w:tcPr>
            <w:tcW w:type="dxa" w:w="5112"/>
          </w:tcPr>
          <w:p>
            <w:r>
              <w:t>Goal</w:t>
            </w:r>
          </w:p>
        </w:tc>
        <w:tc>
          <w:tcPr>
            <w:tcW w:type="dxa" w:w="5112"/>
          </w:tcPr>
          <w:p>
            <w:r>
              <w:t>Weight loss, maintenance, weight gain, fat loss, muscle gain</w:t>
            </w:r>
          </w:p>
        </w:tc>
      </w:tr>
      <w:tr>
        <w:tc>
          <w:tcPr>
            <w:tcW w:type="dxa" w:w="5112"/>
          </w:tcPr>
          <w:p>
            <w:r>
              <w:t>Life stage</w:t>
            </w:r>
          </w:p>
        </w:tc>
        <w:tc>
          <w:tcPr>
            <w:tcW w:type="dxa" w:w="5112"/>
          </w:tcPr>
          <w:p>
            <w:r>
              <w:t>Child, teenager, adult, pregnancy, breastfeeding</w:t>
            </w:r>
          </w:p>
        </w:tc>
      </w:tr>
      <w:tr>
        <w:tc>
          <w:tcPr>
            <w:tcW w:type="dxa" w:w="5112"/>
          </w:tcPr>
          <w:p>
            <w:r>
              <w:t>Medical</w:t>
            </w:r>
          </w:p>
        </w:tc>
        <w:tc>
          <w:tcPr>
            <w:tcW w:type="dxa" w:w="5112"/>
          </w:tcPr>
          <w:p>
            <w:r>
              <w:t>Conditions, severity/stage where relevant, medications, relevant labs</w:t>
            </w:r>
          </w:p>
        </w:tc>
      </w:tr>
      <w:tr>
        <w:tc>
          <w:tcPr>
            <w:tcW w:type="dxa" w:w="5112"/>
          </w:tcPr>
          <w:p>
            <w:r>
              <w:t>Diet</w:t>
            </w:r>
          </w:p>
        </w:tc>
        <w:tc>
          <w:tcPr>
            <w:tcW w:type="dxa" w:w="5112"/>
          </w:tcPr>
          <w:p>
            <w:r>
              <w:t>Preferences, cultural foods, meal pattern, fasting, vegetarian status</w:t>
            </w:r>
          </w:p>
        </w:tc>
      </w:tr>
      <w:tr>
        <w:tc>
          <w:tcPr>
            <w:tcW w:type="dxa" w:w="5112"/>
          </w:tcPr>
          <w:p>
            <w:r>
              <w:t>Allergies</w:t>
            </w:r>
          </w:p>
        </w:tc>
        <w:tc>
          <w:tcPr>
            <w:tcW w:type="dxa" w:w="5112"/>
          </w:tcPr>
          <w:p>
            <w:r>
              <w:t>Foods/allergens and intolerances</w:t>
            </w:r>
          </w:p>
        </w:tc>
      </w:tr>
      <w:tr>
        <w:tc>
          <w:tcPr>
            <w:tcW w:type="dxa" w:w="5112"/>
          </w:tcPr>
          <w:p>
            <w:r>
              <w:t>Availability</w:t>
            </w:r>
          </w:p>
        </w:tc>
        <w:tc>
          <w:tcPr>
            <w:tcW w:type="dxa" w:w="5112"/>
          </w:tcPr>
          <w:p>
            <w:r>
              <w:t>Foods/equipment available; country/market</w:t>
            </w:r>
          </w:p>
        </w:tc>
      </w:tr>
      <w:tr>
        <w:tc>
          <w:tcPr>
            <w:tcW w:type="dxa" w:w="5112"/>
          </w:tcPr>
          <w:p>
            <w:r>
              <w:t>Preferences</w:t>
            </w:r>
          </w:p>
        </w:tc>
        <w:tc>
          <w:tcPr>
            <w:tcW w:type="dxa" w:w="5112"/>
          </w:tcPr>
          <w:p>
            <w:r>
              <w:t>Likes, dislikes, budget, cooking time, number of meals</w:t>
            </w:r>
          </w:p>
        </w:tc>
      </w:tr>
    </w:tbl>
    <w:p>
      <w:pPr>
        <w:pStyle w:val="Heading1"/>
      </w:pPr>
      <w:r>
        <w:t>4. Patient classification rules</w:t>
      </w:r>
    </w:p>
    <w:p>
      <w:pPr>
        <w:pStyle w:val="ListBullet"/>
      </w:pPr>
      <w:r>
        <w:t>IF age &lt; 3 years → infant/toddler pathway.</w:t>
      </w:r>
    </w:p>
    <w:p>
      <w:pPr>
        <w:pStyle w:val="ListBullet"/>
      </w:pPr>
      <w:r>
        <w:t>IF age 3–13 years → child pathway.</w:t>
      </w:r>
    </w:p>
    <w:p>
      <w:pPr>
        <w:pStyle w:val="ListBullet"/>
      </w:pPr>
      <w:r>
        <w:t>IF age 14–18 years → adolescent pathway.</w:t>
      </w:r>
    </w:p>
    <w:p>
      <w:pPr>
        <w:pStyle w:val="ListBullet"/>
      </w:pPr>
      <w:r>
        <w:t>IF age &gt; 18 years → adult pathway.</w:t>
      </w:r>
    </w:p>
    <w:p>
      <w:pPr>
        <w:pStyle w:val="ListBullet"/>
      </w:pPr>
      <w:r>
        <w:t>IF pregnancy = YES → pregnancy pathway overrides ordinary adult goal calculations.</w:t>
      </w:r>
    </w:p>
    <w:p>
      <w:pPr>
        <w:pStyle w:val="ListBullet"/>
      </w:pPr>
      <w:r>
        <w:t>IF breastfeeding = YES → lactation pathway.</w:t>
      </w:r>
    </w:p>
    <w:p>
      <w:pPr>
        <w:pStyle w:val="ListBullet"/>
      </w:pPr>
      <w:r>
        <w:t>IF diabetes = YES → diabetes modifier pathway.</w:t>
      </w:r>
    </w:p>
    <w:p>
      <w:pPr>
        <w:pStyle w:val="ListBullet"/>
      </w:pPr>
      <w:r>
        <w:t>IF CKD, heart failure, advanced liver disease or another high-complexity condition → clinical-review flag and condition-specific targets.</w:t>
      </w:r>
    </w:p>
    <w:p>
      <w:pPr>
        <w:pStyle w:val="ListBullet"/>
      </w:pPr>
      <w:r>
        <w:t>Children/teenagers should be assessed with age- and sex-specific growth measures; adult BMI cutoffs and adult calorie-deficit rules should not be applied automatically.</w:t>
      </w:r>
    </w:p>
    <w:p>
      <w:pPr>
        <w:pStyle w:val="Heading1"/>
      </w:pPr>
      <w:r>
        <w:t>5. Adult energy equations</w:t>
      </w:r>
    </w:p>
    <w:p>
      <w:r>
        <w:t>Use the 2023 National Academies EER equations. Height is cm, weight is kg, age is years.</w:t>
      </w:r>
    </w:p>
    <w:tbl>
      <w:tblPr>
        <w:tblStyle w:val="TableGrid"/>
        <w:tblW w:type="auto" w:w="0"/>
        <w:tblLook w:firstColumn="1" w:firstRow="1" w:lastColumn="0" w:lastRow="0" w:noHBand="0" w:noVBand="1" w:val="04A0"/>
      </w:tblPr>
      <w:tblGrid>
        <w:gridCol w:w="5112"/>
        <w:gridCol w:w="5112"/>
      </w:tblGrid>
      <w:tr>
        <w:tc>
          <w:tcPr>
            <w:tcW w:type="dxa" w:w="5112"/>
          </w:tcPr>
          <w:p>
            <w:r>
              <w:t>Profile</w:t>
            </w:r>
          </w:p>
        </w:tc>
        <w:tc>
          <w:tcPr>
            <w:tcW w:type="dxa" w:w="5112"/>
          </w:tcPr>
          <w:p>
            <w:r>
              <w:t>Equation</w:t>
            </w:r>
          </w:p>
        </w:tc>
      </w:tr>
      <w:tr>
        <w:tc>
          <w:tcPr>
            <w:tcW w:type="dxa" w:w="5112"/>
          </w:tcPr>
          <w:p>
            <w:r>
              <w:t>Male — Inactive</w:t>
            </w:r>
          </w:p>
        </w:tc>
        <w:tc>
          <w:tcPr>
            <w:tcW w:type="dxa" w:w="5112"/>
          </w:tcPr>
          <w:p>
            <w:r>
              <w:t>EER = 753.07 − (10.83×Age) + (6.50×Height) + (14.10×Weight)</w:t>
            </w:r>
          </w:p>
        </w:tc>
      </w:tr>
      <w:tr>
        <w:tc>
          <w:tcPr>
            <w:tcW w:type="dxa" w:w="5112"/>
          </w:tcPr>
          <w:p>
            <w:r>
              <w:t>Male — Low active</w:t>
            </w:r>
          </w:p>
        </w:tc>
        <w:tc>
          <w:tcPr>
            <w:tcW w:type="dxa" w:w="5112"/>
          </w:tcPr>
          <w:p>
            <w:r>
              <w:t>EER = 581.47 − (10.83×Age) + (8.30×Height) + (14.94×Weight)</w:t>
            </w:r>
          </w:p>
        </w:tc>
      </w:tr>
      <w:tr>
        <w:tc>
          <w:tcPr>
            <w:tcW w:type="dxa" w:w="5112"/>
          </w:tcPr>
          <w:p>
            <w:r>
              <w:t>Male — Active</w:t>
            </w:r>
          </w:p>
        </w:tc>
        <w:tc>
          <w:tcPr>
            <w:tcW w:type="dxa" w:w="5112"/>
          </w:tcPr>
          <w:p>
            <w:r>
              <w:t>EER = 1004.82 − (10.83×Age) + (6.52×Height) + (15.91×Weight)</w:t>
            </w:r>
          </w:p>
        </w:tc>
      </w:tr>
      <w:tr>
        <w:tc>
          <w:tcPr>
            <w:tcW w:type="dxa" w:w="5112"/>
          </w:tcPr>
          <w:p>
            <w:r>
              <w:t>Male — Very active</w:t>
            </w:r>
          </w:p>
        </w:tc>
        <w:tc>
          <w:tcPr>
            <w:tcW w:type="dxa" w:w="5112"/>
          </w:tcPr>
          <w:p>
            <w:r>
              <w:t>EER = −517.88 − (10.83×Age) + (15.61×Height) + (19.11×Weight)</w:t>
            </w:r>
          </w:p>
        </w:tc>
      </w:tr>
      <w:tr>
        <w:tc>
          <w:tcPr>
            <w:tcW w:type="dxa" w:w="5112"/>
          </w:tcPr>
          <w:p>
            <w:r>
              <w:t>Female — Inactive</w:t>
            </w:r>
          </w:p>
        </w:tc>
        <w:tc>
          <w:tcPr>
            <w:tcW w:type="dxa" w:w="5112"/>
          </w:tcPr>
          <w:p>
            <w:r>
              <w:t>EER = 584.90 − (7.01×Age) + (5.72×Height) + (11.71×Weight)</w:t>
            </w:r>
          </w:p>
        </w:tc>
      </w:tr>
      <w:tr>
        <w:tc>
          <w:tcPr>
            <w:tcW w:type="dxa" w:w="5112"/>
          </w:tcPr>
          <w:p>
            <w:r>
              <w:t>Female — Low active</w:t>
            </w:r>
          </w:p>
        </w:tc>
        <w:tc>
          <w:tcPr>
            <w:tcW w:type="dxa" w:w="5112"/>
          </w:tcPr>
          <w:p>
            <w:r>
              <w:t>EER = 575.77 − (7.01×Age) + (6.60×Height) + (12.14×Weight)</w:t>
            </w:r>
          </w:p>
        </w:tc>
      </w:tr>
      <w:tr>
        <w:tc>
          <w:tcPr>
            <w:tcW w:type="dxa" w:w="5112"/>
          </w:tcPr>
          <w:p>
            <w:r>
              <w:t>Female — Active</w:t>
            </w:r>
          </w:p>
        </w:tc>
        <w:tc>
          <w:tcPr>
            <w:tcW w:type="dxa" w:w="5112"/>
          </w:tcPr>
          <w:p>
            <w:r>
              <w:t>EER = 710.25 − (7.01×Age) + (6.54×Height) + (12.34×Weight)</w:t>
            </w:r>
          </w:p>
        </w:tc>
      </w:tr>
      <w:tr>
        <w:tc>
          <w:tcPr>
            <w:tcW w:type="dxa" w:w="5112"/>
          </w:tcPr>
          <w:p>
            <w:r>
              <w:t>Female — Very active</w:t>
            </w:r>
          </w:p>
        </w:tc>
        <w:tc>
          <w:tcPr>
            <w:tcW w:type="dxa" w:w="5112"/>
          </w:tcPr>
          <w:p>
            <w:r>
              <w:t>EER = 511.83 − (7.01×Age) + (9.07×Height) + (12.56×Weight)</w:t>
            </w:r>
          </w:p>
        </w:tc>
      </w:tr>
    </w:tbl>
    <w:p>
      <w:pPr>
        <w:pStyle w:val="Heading1"/>
      </w:pPr>
      <w:r>
        <w:t>6. Goal equations</w:t>
      </w:r>
    </w:p>
    <w:tbl>
      <w:tblPr>
        <w:tblStyle w:val="TableGrid"/>
        <w:tblW w:type="auto" w:w="0"/>
        <w:tblLook w:firstColumn="1" w:firstRow="1" w:lastColumn="0" w:lastRow="0" w:noHBand="0" w:noVBand="1" w:val="04A0"/>
      </w:tblPr>
      <w:tblGrid>
        <w:gridCol w:w="5112"/>
        <w:gridCol w:w="5112"/>
      </w:tblGrid>
      <w:tr>
        <w:tc>
          <w:tcPr>
            <w:tcW w:type="dxa" w:w="5112"/>
          </w:tcPr>
          <w:p>
            <w:r>
              <w:t>Goal</w:t>
            </w:r>
          </w:p>
        </w:tc>
        <w:tc>
          <w:tcPr>
            <w:tcW w:type="dxa" w:w="5112"/>
          </w:tcPr>
          <w:p>
            <w:r>
              <w:t>Calculation</w:t>
            </w:r>
          </w:p>
        </w:tc>
      </w:tr>
      <w:tr>
        <w:tc>
          <w:tcPr>
            <w:tcW w:type="dxa" w:w="5112"/>
          </w:tcPr>
          <w:p>
            <w:r>
              <w:t>Maintenance</w:t>
            </w:r>
          </w:p>
        </w:tc>
        <w:tc>
          <w:tcPr>
            <w:tcW w:type="dxa" w:w="5112"/>
          </w:tcPr>
          <w:p>
            <w:r>
              <w:t>Target calories = EER</w:t>
            </w:r>
          </w:p>
        </w:tc>
      </w:tr>
      <w:tr>
        <w:tc>
          <w:tcPr>
            <w:tcW w:type="dxa" w:w="5112"/>
          </w:tcPr>
          <w:p>
            <w:r>
              <w:t>Weight loss</w:t>
            </w:r>
          </w:p>
        </w:tc>
        <w:tc>
          <w:tcPr>
            <w:tcW w:type="dxa" w:w="5112"/>
          </w:tcPr>
          <w:p>
            <w:r>
              <w:t>Target calories = EER − deficit; practical starting framework: ~10–20% deficit or ~300–750 kcal/day when clinically appropriate</w:t>
            </w:r>
          </w:p>
        </w:tc>
      </w:tr>
      <w:tr>
        <w:tc>
          <w:tcPr>
            <w:tcW w:type="dxa" w:w="5112"/>
          </w:tcPr>
          <w:p>
            <w:r>
              <w:t>Weight gain</w:t>
            </w:r>
          </w:p>
        </w:tc>
        <w:tc>
          <w:tcPr>
            <w:tcW w:type="dxa" w:w="5112"/>
          </w:tcPr>
          <w:p>
            <w:r>
              <w:t>Target calories = EER + surplus; practical starting framework: ~5–15% or ~200–500 kcal/day</w:t>
            </w:r>
          </w:p>
        </w:tc>
      </w:tr>
      <w:tr>
        <w:tc>
          <w:tcPr>
            <w:tcW w:type="dxa" w:w="5112"/>
          </w:tcPr>
          <w:p>
            <w:r>
              <w:t>Muscle gain</w:t>
            </w:r>
          </w:p>
        </w:tc>
        <w:tc>
          <w:tcPr>
            <w:tcW w:type="dxa" w:w="5112"/>
          </w:tcPr>
          <w:p>
            <w:r>
              <w:t>Target calories = EER + modest surplus; combine with resistance training and adequate protein</w:t>
            </w:r>
          </w:p>
        </w:tc>
      </w:tr>
      <w:tr>
        <w:tc>
          <w:tcPr>
            <w:tcW w:type="dxa" w:w="5112"/>
          </w:tcPr>
          <w:p>
            <w:r>
              <w:t>Fat loss</w:t>
            </w:r>
          </w:p>
        </w:tc>
        <w:tc>
          <w:tcPr>
            <w:tcW w:type="dxa" w:w="5112"/>
          </w:tcPr>
          <w:p>
            <w:r>
              <w:t>Target calories = EER − modest deficit; prioritize protein, resistance training and nutrient density</w:t>
            </w:r>
          </w:p>
        </w:tc>
      </w:tr>
    </w:tbl>
    <w:p>
      <w:r>
        <w:t>Safety rule: do not automatically apply adult calorie deficits to children, pregnancy, underweight patients, eating-disorder risk, or medically complex cases.</w:t>
      </w:r>
    </w:p>
    <w:p>
      <w:pPr>
        <w:pStyle w:val="Heading1"/>
      </w:pPr>
      <w:r>
        <w:t>7. Macronutrient equations</w:t>
      </w:r>
    </w:p>
    <w:p>
      <w:pPr>
        <w:pStyle w:val="ListBullet"/>
      </w:pPr>
      <w:r>
        <w:t>Protein (g/day) = Weight (kg) × Protein Factor.</w:t>
      </w:r>
    </w:p>
    <w:p>
      <w:pPr>
        <w:pStyle w:val="ListBullet"/>
      </w:pPr>
      <w:r>
        <w:t>Protein calories = Protein (g) × 4.</w:t>
      </w:r>
    </w:p>
    <w:p>
      <w:pPr>
        <w:pStyle w:val="ListBullet"/>
      </w:pPr>
      <w:r>
        <w:t>Fat (g/day) = [Target calories × Fat %] ÷ 9.</w:t>
      </w:r>
    </w:p>
    <w:p>
      <w:pPr>
        <w:pStyle w:val="ListBullet"/>
      </w:pPr>
      <w:r>
        <w:t>Carbohydrate (g/day) = [Target calories − Protein calories − Fat calories] ÷ 4.</w:t>
      </w:r>
    </w:p>
    <w:p>
      <w:pPr>
        <w:pStyle w:val="ListBullet"/>
      </w:pPr>
      <w:r>
        <w:t>If carbohydrate and protein are fixed first: Fat (g) = [Calories − (Protein×4) − (CHO×4)] ÷ 9.</w:t>
      </w:r>
    </w:p>
    <w:p>
      <w:r>
        <w:t>Starting protein-factor framework (must be individualized): healthy adults ~0.8–1.0 g/kg; weight loss ~1.2–1.6 g/kg; resistance training/muscle gain ~1.6–2.2 g/kg. Kidney disease requires a condition-specific clinical target rather than automatic high protein.</w:t>
      </w:r>
    </w:p>
    <w:p>
      <w:pPr>
        <w:pStyle w:val="Heading1"/>
      </w:pPr>
      <w:r>
        <w:t>8. Fiber and hydration</w:t>
      </w:r>
    </w:p>
    <w:p>
      <w:r>
        <w:t>Fiber: Fiber target (g/day) ≈ Target calories ÷ 1000 × 14.</w:t>
      </w:r>
    </w:p>
    <w:p>
      <w:r>
        <w:t>Example: 2000 kcal → 28 g/day.</w:t>
      </w:r>
    </w:p>
    <w:p>
      <w:r>
        <w:t>General adult hydration starting framework: Water (mL/day) = Weight (kg) × 30–35. Modify for climate, exercise, pregnancy, fever, vomiting/diarrhea and medical fluid restrictions.</w:t>
      </w:r>
    </w:p>
    <w:p>
      <w:pPr>
        <w:pStyle w:val="Heading1"/>
      </w:pPr>
      <w:r>
        <w:t>9. Children and teenagers</w:t>
      </w:r>
    </w:p>
    <w:p>
      <w:r>
        <w:t>Use pediatric EER equations and growth assessment rather than adult equations. The National Academies provides separate equations for ages 0–2, 3–13 and 14–18, with sex/activity and growth components.</w:t>
      </w:r>
    </w:p>
    <w:p>
      <w:r>
        <w:t>Implementation rule: the pediatric module should output a growth-supportive plan and monitor BMI-for-age/weight-for-age/height trajectory as appropriate. It should not simply apply an adult 500-kcal deficit.</w:t>
      </w:r>
    </w:p>
    <w:p>
      <w:pPr>
        <w:pStyle w:val="Heading1"/>
      </w:pPr>
      <w:r>
        <w:t>10. Infant/toddler EER equations</w:t>
      </w:r>
    </w:p>
    <w:p>
      <w:pPr>
        <w:pStyle w:val="ListBullet"/>
      </w:pPr>
      <w:r>
        <w:t>Boys 0–2: TEE = −716.45 − (1.00×Age) + (17.82×Height) + (15.06×Weight), with age-specific growth addition.</w:t>
      </w:r>
    </w:p>
    <w:p>
      <w:pPr>
        <w:pStyle w:val="ListBullet"/>
      </w:pPr>
      <w:r>
        <w:t>Girls 0–2: TEE = −69.15 + (80×Age) + (2.65×Height) + (54.15×Weight), with age-specific growth addition.</w:t>
      </w:r>
    </w:p>
    <w:p>
      <w:pPr>
        <w:pStyle w:val="ListBullet"/>
      </w:pPr>
      <w:r>
        <w:t>Growth additions in the source vary by age; the implementation should store them as lookup-table values rather than hard-code a single addition.</w:t>
      </w:r>
    </w:p>
    <w:p>
      <w:r>
        <w:t>For infants, include feeding-stage logic (breast milk/formula/solids) rather than treating the infant as a miniature adult.</w:t>
      </w:r>
    </w:p>
    <w:p>
      <w:pPr>
        <w:pStyle w:val="Heading1"/>
      </w:pPr>
      <w:r>
        <w:t>11. Children 3–13 and adolescents 14–18</w:t>
      </w:r>
    </w:p>
    <w:p>
      <w:r>
        <w:t>Store the full National Academies pediatric equations in the EER lookup table by sex, age band and activity level. Use height in cm and weight in kg. Add the appropriate growth-energy component from the same reference.</w:t>
      </w:r>
    </w:p>
    <w:p>
      <w:pPr>
        <w:pStyle w:val="Heading1"/>
      </w:pPr>
      <w:r>
        <w:t>12. Pregnancy</w:t>
      </w:r>
    </w:p>
    <w:p>
      <w:r>
        <w:t>Trimester 1: use the non-pregnant EER as the baseline rather than automatically adding a large calorie allowance.</w:t>
      </w:r>
    </w:p>
    <w:p>
      <w:r>
        <w:t>Trimesters 2–3: use the pregnancy-specific EER/growth and energy-deposition framework. The National Academies model uses BMI-dependent energy-deposition/mobilization assumptions; these should be stored as configurable parameters.</w:t>
      </w:r>
    </w:p>
    <w:p>
      <w:r>
        <w:t>Pregnancy module outputs: energy target + protein target + carbohydrate adequacy + fiber + micronutrient checks + gestational-weight-gain monitoring.</w:t>
      </w:r>
    </w:p>
    <w:p>
      <w:r>
        <w:t>Pregnancy protein reference: approximately 71 g/day, individualized clinically.</w:t>
      </w:r>
    </w:p>
    <w:p>
      <w:pPr>
        <w:pStyle w:val="Heading1"/>
      </w:pPr>
      <w:r>
        <w:t>13. Breastfeeding</w:t>
      </w:r>
    </w:p>
    <w:p>
      <w:r>
        <w:t>Exclusive breastfeeding 0–6 months: EER ≈ non-lactation TEE + 400 kcal/day under the National Academies model (540-kcal milk-production cost minus 140-kcal energy mobilization).</w:t>
      </w:r>
    </w:p>
    <w:p>
      <w:r>
        <w:t>Partial breastfeeding 7–12 months: the National Academies model uses approximately +380 kcal/day. Individualize based on breastfeeding intensity and clinical context.</w:t>
      </w:r>
    </w:p>
    <w:p>
      <w:pPr>
        <w:pStyle w:val="Heading1"/>
      </w:pPr>
      <w:r>
        <w:t>14. Diabetes pathway</w:t>
      </w:r>
    </w:p>
    <w:p>
      <w:pPr>
        <w:pStyle w:val="ListBullet"/>
      </w:pPr>
      <w:r>
        <w:t>Do not assign one universal carbohydrate/protein/fat percentage to every person with diabetes.</w:t>
      </w:r>
    </w:p>
    <w:p>
      <w:pPr>
        <w:pStyle w:val="ListBullet"/>
      </w:pPr>
      <w:r>
        <w:t>Use individualized carbohydrate quantity and distribution.</w:t>
      </w:r>
    </w:p>
    <w:p>
      <w:pPr>
        <w:pStyle w:val="ListBullet"/>
      </w:pPr>
      <w:r>
        <w:t>Prioritize nutrient-dense, high-fiber carbohydrate sources and appropriate portions.</w:t>
      </w:r>
    </w:p>
    <w:p>
      <w:pPr>
        <w:pStyle w:val="ListBullet"/>
      </w:pPr>
      <w:r>
        <w:t>Account for glucose-lowering medications and hypoglycemia risk.</w:t>
      </w:r>
    </w:p>
    <w:p>
      <w:pPr>
        <w:pStyle w:val="ListBullet"/>
      </w:pPr>
      <w:r>
        <w:t>If insulin-to-carbohydrate ratio is supplied: meal bolus calculation = meal carbohydrate (g) ÷ ICR; insulin dosing should remain under an appropriate clinical protocol.</w:t>
      </w:r>
    </w:p>
    <w:p>
      <w:pPr>
        <w:pStyle w:val="ListBullet"/>
      </w:pPr>
      <w:r>
        <w:t>Check kidney function and other comorbidities before applying high-protein or electrolyte-related modifications.</w:t>
      </w:r>
    </w:p>
    <w:p>
      <w:pPr>
        <w:pStyle w:val="Heading1"/>
      </w:pPr>
      <w:r>
        <w:t>15. Chronic-condition modifier engine</w:t>
      </w:r>
    </w:p>
    <w:tbl>
      <w:tblPr>
        <w:tblStyle w:val="TableGrid"/>
        <w:tblW w:type="auto" w:w="0"/>
        <w:tblLook w:firstColumn="1" w:firstRow="1" w:lastColumn="0" w:lastRow="0" w:noHBand="0" w:noVBand="1" w:val="04A0"/>
      </w:tblPr>
      <w:tblGrid>
        <w:gridCol w:w="5112"/>
        <w:gridCol w:w="5112"/>
      </w:tblGrid>
      <w:tr>
        <w:tc>
          <w:tcPr>
            <w:tcW w:type="dxa" w:w="5112"/>
          </w:tcPr>
          <w:p>
            <w:r>
              <w:t>Condition</w:t>
            </w:r>
          </w:p>
        </w:tc>
        <w:tc>
          <w:tcPr>
            <w:tcW w:type="dxa" w:w="5112"/>
          </w:tcPr>
          <w:p>
            <w:r>
              <w:t>Algorithm modifier</w:t>
            </w:r>
          </w:p>
        </w:tc>
      </w:tr>
      <w:tr>
        <w:tc>
          <w:tcPr>
            <w:tcW w:type="dxa" w:w="5112"/>
          </w:tcPr>
          <w:p>
            <w:r>
              <w:t>Diabetes</w:t>
            </w:r>
          </w:p>
        </w:tc>
        <w:tc>
          <w:tcPr>
            <w:tcW w:type="dxa" w:w="5112"/>
          </w:tcPr>
          <w:p>
            <w:r>
              <w:t>Individualized carbohydrate distribution, fiber, food quality, medication/hypoglycemia review</w:t>
            </w:r>
          </w:p>
        </w:tc>
      </w:tr>
      <w:tr>
        <w:tc>
          <w:tcPr>
            <w:tcW w:type="dxa" w:w="5112"/>
          </w:tcPr>
          <w:p>
            <w:r>
              <w:t>Hypertension</w:t>
            </w:r>
          </w:p>
        </w:tc>
        <w:tc>
          <w:tcPr>
            <w:tcW w:type="dxa" w:w="5112"/>
          </w:tcPr>
          <w:p>
            <w:r>
              <w:t>Sodium-aware food selection and overall dietary pattern</w:t>
            </w:r>
          </w:p>
        </w:tc>
      </w:tr>
      <w:tr>
        <w:tc>
          <w:tcPr>
            <w:tcW w:type="dxa" w:w="5112"/>
          </w:tcPr>
          <w:p>
            <w:r>
              <w:t>Dyslipidemia</w:t>
            </w:r>
          </w:p>
        </w:tc>
        <w:tc>
          <w:tcPr>
            <w:tcW w:type="dxa" w:w="5112"/>
          </w:tcPr>
          <w:p>
            <w:r>
              <w:t>Reduce saturated fat where appropriate; increase fiber-rich foods</w:t>
            </w:r>
          </w:p>
        </w:tc>
      </w:tr>
      <w:tr>
        <w:tc>
          <w:tcPr>
            <w:tcW w:type="dxa" w:w="5112"/>
          </w:tcPr>
          <w:p>
            <w:r>
              <w:t>Celiac disease</w:t>
            </w:r>
          </w:p>
        </w:tc>
        <w:tc>
          <w:tcPr>
            <w:tcW w:type="dxa" w:w="5112"/>
          </w:tcPr>
          <w:p>
            <w:r>
              <w:t>Strict gluten exclusion and cross-contact controls</w:t>
            </w:r>
          </w:p>
        </w:tc>
      </w:tr>
      <w:tr>
        <w:tc>
          <w:tcPr>
            <w:tcW w:type="dxa" w:w="5112"/>
          </w:tcPr>
          <w:p>
            <w:r>
              <w:t>Food allergy</w:t>
            </w:r>
          </w:p>
        </w:tc>
        <w:tc>
          <w:tcPr>
            <w:tcW w:type="dxa" w:w="5112"/>
          </w:tcPr>
          <w:p>
            <w:r>
              <w:t>Complete allergen exclusion</w:t>
            </w:r>
          </w:p>
        </w:tc>
      </w:tr>
      <w:tr>
        <w:tc>
          <w:tcPr>
            <w:tcW w:type="dxa" w:w="5112"/>
          </w:tcPr>
          <w:p>
            <w:r>
              <w:t>PCOS</w:t>
            </w:r>
          </w:p>
        </w:tc>
        <w:tc>
          <w:tcPr>
            <w:tcW w:type="dxa" w:w="5112"/>
          </w:tcPr>
          <w:p>
            <w:r>
              <w:t>Individualized energy target, protein/fiber-rich pattern and metabolic goals</w:t>
            </w:r>
          </w:p>
        </w:tc>
      </w:tr>
      <w:tr>
        <w:tc>
          <w:tcPr>
            <w:tcW w:type="dxa" w:w="5112"/>
          </w:tcPr>
          <w:p>
            <w:r>
              <w:t>Hypothyroidism</w:t>
            </w:r>
          </w:p>
        </w:tc>
        <w:tc>
          <w:tcPr>
            <w:tcW w:type="dxa" w:w="5112"/>
          </w:tcPr>
          <w:p>
            <w:r>
              <w:t>Adequate nutrition; medication timing considerations where relevant</w:t>
            </w:r>
          </w:p>
        </w:tc>
      </w:tr>
      <w:tr>
        <w:tc>
          <w:tcPr>
            <w:tcW w:type="dxa" w:w="5112"/>
          </w:tcPr>
          <w:p>
            <w:r>
              <w:t>GERD</w:t>
            </w:r>
          </w:p>
        </w:tc>
        <w:tc>
          <w:tcPr>
            <w:tcW w:type="dxa" w:w="5112"/>
          </w:tcPr>
          <w:p>
            <w:r>
              <w:t>Meal size/timing and individualized trigger-food module</w:t>
            </w:r>
          </w:p>
        </w:tc>
      </w:tr>
      <w:tr>
        <w:tc>
          <w:tcPr>
            <w:tcW w:type="dxa" w:w="5112"/>
          </w:tcPr>
          <w:p>
            <w:r>
              <w:t>IBS</w:t>
            </w:r>
          </w:p>
        </w:tc>
        <w:tc>
          <w:tcPr>
            <w:tcW w:type="dxa" w:w="5112"/>
          </w:tcPr>
          <w:p>
            <w:r>
              <w:t>Symptom-based pathway; avoid unnecessary blanket restriction</w:t>
            </w:r>
          </w:p>
        </w:tc>
      </w:tr>
      <w:tr>
        <w:tc>
          <w:tcPr>
            <w:tcW w:type="dxa" w:w="5112"/>
          </w:tcPr>
          <w:p>
            <w:r>
              <w:t>CKD</w:t>
            </w:r>
          </w:p>
        </w:tc>
        <w:tc>
          <w:tcPr>
            <w:tcW w:type="dxa" w:w="5112"/>
          </w:tcPr>
          <w:p>
            <w:r>
              <w:t>Stage/lab-based protein, sodium, potassium, phosphorus and fluid rules; clinical review</w:t>
            </w:r>
          </w:p>
        </w:tc>
      </w:tr>
      <w:tr>
        <w:tc>
          <w:tcPr>
            <w:tcW w:type="dxa" w:w="5112"/>
          </w:tcPr>
          <w:p>
            <w:r>
              <w:t>Heart failure</w:t>
            </w:r>
          </w:p>
        </w:tc>
        <w:tc>
          <w:tcPr>
            <w:tcW w:type="dxa" w:w="5112"/>
          </w:tcPr>
          <w:p>
            <w:r>
              <w:t>Medical fluid/sodium rules; clinical review</w:t>
            </w:r>
          </w:p>
        </w:tc>
      </w:tr>
      <w:tr>
        <w:tc>
          <w:tcPr>
            <w:tcW w:type="dxa" w:w="5112"/>
          </w:tcPr>
          <w:p>
            <w:r>
              <w:t>Liver disease</w:t>
            </w:r>
          </w:p>
        </w:tc>
        <w:tc>
          <w:tcPr>
            <w:tcW w:type="dxa" w:w="5112"/>
          </w:tcPr>
          <w:p>
            <w:r>
              <w:t>Condition-specific energy/protein and micronutrient pathway</w:t>
            </w:r>
          </w:p>
        </w:tc>
      </w:tr>
      <w:tr>
        <w:tc>
          <w:tcPr>
            <w:tcW w:type="dxa" w:w="5112"/>
          </w:tcPr>
          <w:p>
            <w:r>
              <w:t>Iron deficiency/anemia</w:t>
            </w:r>
          </w:p>
        </w:tc>
        <w:tc>
          <w:tcPr>
            <w:tcW w:type="dxa" w:w="5112"/>
          </w:tcPr>
          <w:p>
            <w:r>
              <w:t>Identify likely cause; iron-rich foods and absorption-support strategy</w:t>
            </w:r>
          </w:p>
        </w:tc>
      </w:tr>
      <w:tr>
        <w:tc>
          <w:tcPr>
            <w:tcW w:type="dxa" w:w="5112"/>
          </w:tcPr>
          <w:p>
            <w:r>
              <w:t>Osteoporosis</w:t>
            </w:r>
          </w:p>
        </w:tc>
        <w:tc>
          <w:tcPr>
            <w:tcW w:type="dxa" w:w="5112"/>
          </w:tcPr>
          <w:p>
            <w:r>
              <w:t>Calcium, vitamin D, protein and overall dietary adequacy</w:t>
            </w:r>
          </w:p>
        </w:tc>
      </w:tr>
    </w:tbl>
    <w:p>
      <w:pPr>
        <w:pStyle w:val="Heading1"/>
      </w:pPr>
      <w:r>
        <w:t>16. Meal distribution</w:t>
      </w:r>
    </w:p>
    <w:p>
      <w:pPr>
        <w:pStyle w:val="ListBullet"/>
      </w:pPr>
      <w:r>
        <w:t>Meal calories = Daily calories × Meal percentage.</w:t>
      </w:r>
    </w:p>
    <w:p>
      <w:pPr>
        <w:pStyle w:val="ListBullet"/>
      </w:pPr>
      <w:r>
        <w:t>Meal protein = Daily protein × Protein-distribution percentage.</w:t>
      </w:r>
    </w:p>
    <w:p>
      <w:pPr>
        <w:pStyle w:val="ListBullet"/>
      </w:pPr>
      <w:r>
        <w:t>Meal carbohydrate = Daily carbohydrate × Carbohydrate-distribution percentage.</w:t>
      </w:r>
    </w:p>
    <w:p>
      <w:pPr>
        <w:pStyle w:val="ListBullet"/>
      </w:pPr>
      <w:r>
        <w:t>Meal percentages must sum to 100%.</w:t>
      </w:r>
    </w:p>
    <w:p>
      <w:pPr>
        <w:pStyle w:val="ListBullet"/>
      </w:pPr>
      <w:r>
        <w:t>Allow user-configurable patterns such as 3 meals, 3 meals + snacks, 4 meals, fasting-compatible patterns, etc.</w:t>
      </w:r>
    </w:p>
    <w:p>
      <w:pPr>
        <w:pStyle w:val="Heading1"/>
      </w:pPr>
      <w:r>
        <w:t>17. Food quantity calculator</w:t>
      </w:r>
    </w:p>
    <w:p>
      <w:pPr>
        <w:pStyle w:val="ListBullet"/>
      </w:pPr>
      <w:r>
        <w:t>Food weight (g) = [Target calories × 100] ÷ Food calories per 100 g.</w:t>
      </w:r>
    </w:p>
    <w:p>
      <w:pPr>
        <w:pStyle w:val="ListBullet"/>
      </w:pPr>
      <w:r>
        <w:t>Food weight (g) for protein = [Required protein × 100] ÷ Food protein per 100 g.</w:t>
      </w:r>
    </w:p>
    <w:p>
      <w:pPr>
        <w:pStyle w:val="ListBullet"/>
      </w:pPr>
      <w:r>
        <w:t>Equivalent calculations can be made for carbohydrate and fat.</w:t>
      </w:r>
    </w:p>
    <w:p>
      <w:pPr>
        <w:pStyle w:val="ListBullet"/>
      </w:pPr>
      <w:r>
        <w:t>The meal builder should solve for portions while respecting minimum/maximum serving constraints.</w:t>
      </w:r>
    </w:p>
    <w:p>
      <w:pPr>
        <w:pStyle w:val="Heading1"/>
      </w:pPr>
      <w:r>
        <w:t>18. Recipe scaling</w:t>
      </w:r>
    </w:p>
    <w:p>
      <w:r>
        <w:t>Scaling factor = Desired servings ÷ Original servings.</w:t>
      </w:r>
    </w:p>
    <w:p>
      <w:r>
        <w:t>New ingredient quantity = Original ingredient quantity × Scaling factor.</w:t>
      </w:r>
    </w:p>
    <w:p>
      <w:pPr>
        <w:pStyle w:val="Heading1"/>
      </w:pPr>
      <w:r>
        <w:t>19. Micronutrient engine</w:t>
      </w:r>
    </w:p>
    <w:p>
      <w:pPr>
        <w:pStyle w:val="ListBullet"/>
      </w:pPr>
      <w:r>
        <w:t>Nutrient target = DRI(age, sex, life stage).</w:t>
      </w:r>
    </w:p>
    <w:p>
      <w:pPr>
        <w:pStyle w:val="ListBullet"/>
      </w:pPr>
      <w:r>
        <w:t>Nutrient coverage (%) = Dietary intake ÷ Nutrient target × 100.</w:t>
      </w:r>
    </w:p>
    <w:p>
      <w:pPr>
        <w:pStyle w:val="ListBullet"/>
      </w:pPr>
      <w:r>
        <w:t>Use age/sex/life-stage-specific reference tables.</w:t>
      </w:r>
    </w:p>
    <w:p>
      <w:pPr>
        <w:pStyle w:val="ListBullet"/>
      </w:pPr>
      <w:r>
        <w:t>Flag potential inadequacy or upper-limit concerns for professional review; do not present a percentage alone as a diagnosis.</w:t>
      </w:r>
    </w:p>
    <w:p>
      <w:pPr>
        <w:pStyle w:val="Heading1"/>
      </w:pPr>
      <w:r>
        <w:t>20. Food-selection engine</w:t>
      </w:r>
    </w:p>
    <w:p>
      <w:r>
        <w:t>Each food/recipe can receive a configurable compatibility score:</w:t>
      </w:r>
    </w:p>
    <w:p>
      <w:r>
        <w:t>FoodScore = NutritionScore + PreferenceScore + MedicalCompatibility + Availability + Variety</w:t>
      </w:r>
    </w:p>
    <w:p>
      <w:r>
        <w:t>The score should be used to filter and select foods that satisfy hard constraints first (allergy, medical contraindication, dietary exclusion), then optimize preferences, variety and practicality.</w:t>
      </w:r>
    </w:p>
    <w:p>
      <w:pPr>
        <w:pStyle w:val="Heading1"/>
      </w:pPr>
      <w:r>
        <w:t>21. Meal construction logic</w:t>
      </w:r>
    </w:p>
    <w:p>
      <w:r>
        <w:t>For each meal: determine calorie and macro budget → select a protein anchor → add vegetables/fruit as appropriate → select carbohydrate source → add fat source → calculate portions → recalculate meal totals → compare with meal budget → adjust portions until tolerance is reached.</w:t>
      </w:r>
    </w:p>
    <w:p>
      <w:pPr>
        <w:pStyle w:val="Heading1"/>
      </w:pPr>
      <w:r>
        <w:t>22. Shopping-list engine</w:t>
      </w:r>
    </w:p>
    <w:p>
      <w:pPr>
        <w:pStyle w:val="ListBullet"/>
      </w:pPr>
      <w:r>
        <w:t>For each recipe: multiply ingredient quantity by number of servings.</w:t>
      </w:r>
    </w:p>
    <w:p>
      <w:pPr>
        <w:pStyle w:val="ListBullet"/>
      </w:pPr>
      <w:r>
        <w:t>Sum identical ingredients across all days.</w:t>
      </w:r>
    </w:p>
    <w:p>
      <w:pPr>
        <w:pStyle w:val="ListBullet"/>
      </w:pPr>
      <w:r>
        <w:t>Convert units to purchasing units where possible (kg, L, packs, pieces).</w:t>
      </w:r>
    </w:p>
    <w:p>
      <w:pPr>
        <w:pStyle w:val="ListBullet"/>
      </w:pPr>
      <w:r>
        <w:t>Separate categories: vegetables, fruit, protein foods, grains, dairy, pantry, frozen, household/meal-prep.</w:t>
      </w:r>
    </w:p>
    <w:p>
      <w:pPr>
        <w:pStyle w:val="Heading1"/>
      </w:pPr>
      <w:r>
        <w:t>23. 7-day → 30-day product logic</w:t>
      </w:r>
    </w:p>
    <w:p>
      <w:r>
        <w:t>Before payment: generate a calculated sample/weekly plan according to the product rules. After payment: unlock the complete 30-day plan, recipe details, quantities, substitutions and consolidated shopping list.</w:t>
      </w:r>
    </w:p>
    <w:p>
      <w:r>
        <w:t>The system should regenerate portions and recipes whenever the patient's calculated target or medical constraints change.</w:t>
      </w:r>
    </w:p>
    <w:p>
      <w:pPr>
        <w:pStyle w:val="Heading1"/>
      </w:pPr>
      <w:r>
        <w:t>24. Monitoring and feedback loop</w:t>
      </w:r>
    </w:p>
    <w:p>
      <w:pPr>
        <w:pStyle w:val="ListBullet"/>
      </w:pPr>
      <w:r>
        <w:t>Weight trend = (Current weight − Baseline weight) ÷ Time.</w:t>
      </w:r>
    </w:p>
    <w:p>
      <w:pPr>
        <w:pStyle w:val="ListBullet"/>
      </w:pPr>
      <w:r>
        <w:t>For adults: compare observed trajectory with the selected goal and make small calorie adjustments after an appropriate monitoring period.</w:t>
      </w:r>
    </w:p>
    <w:p>
      <w:pPr>
        <w:pStyle w:val="ListBullet"/>
      </w:pPr>
      <w:r>
        <w:t>For children/teenagers: monitor growth trajectory rather than applying adult weight-loss adjustment rules.</w:t>
      </w:r>
    </w:p>
    <w:p>
      <w:pPr>
        <w:pStyle w:val="ListBullet"/>
      </w:pPr>
      <w:r>
        <w:t>For pregnancy: monitor gestational weight gain against the appropriate pre-pregnancy-BMI-based recommendations.</w:t>
      </w:r>
    </w:p>
    <w:p>
      <w:pPr>
        <w:pStyle w:val="ListBullet"/>
      </w:pPr>
      <w:r>
        <w:t>All adjustments should preserve minimum nutritional adequacy and medical constraints.</w:t>
      </w:r>
    </w:p>
    <w:p>
      <w:pPr>
        <w:pStyle w:val="Heading1"/>
      </w:pPr>
      <w:r>
        <w:t>25. Safety / clinical override system</w:t>
      </w:r>
    </w:p>
    <w:p>
      <w:pPr>
        <w:pStyle w:val="ListBullet"/>
      </w:pPr>
      <w:r>
        <w:t>Hard-stop or clinical-review conditions: pregnancy complications, eating-disorder risk, severe underweight, CKD, heart failure/fluid restriction, advanced liver disease, significant food allergy, complex diabetes medication regimens, pediatric therapeutic diets, unexplained rapid weight change.</w:t>
      </w:r>
    </w:p>
    <w:p>
      <w:pPr>
        <w:pStyle w:val="ListBullet"/>
      </w:pPr>
      <w:r>
        <w:t>Medical rules must override generic goal rules.</w:t>
      </w:r>
    </w:p>
    <w:p>
      <w:pPr>
        <w:pStyle w:val="ListBullet"/>
      </w:pPr>
      <w:r>
        <w:t>Allergy exclusions are hard constraints.</w:t>
      </w:r>
    </w:p>
    <w:p>
      <w:pPr>
        <w:pStyle w:val="ListBullet"/>
      </w:pPr>
      <w:r>
        <w:t>Do not automatically prescribe medication doses.</w:t>
      </w:r>
    </w:p>
    <w:p>
      <w:pPr>
        <w:pStyle w:val="ListBullet"/>
      </w:pPr>
      <w:r>
        <w:t>Do not automatically diagnose a condition from questionnaire answers.</w:t>
      </w:r>
    </w:p>
    <w:p>
      <w:pPr>
        <w:pStyle w:val="Heading1"/>
      </w:pPr>
      <w:r>
        <w:t>26. Recommended database structure</w:t>
      </w:r>
    </w:p>
    <w:tbl>
      <w:tblPr>
        <w:tblStyle w:val="TableGrid"/>
        <w:tblW w:type="auto" w:w="0"/>
        <w:tblLook w:firstColumn="1" w:firstRow="1" w:lastColumn="0" w:lastRow="0" w:noHBand="0" w:noVBand="1" w:val="04A0"/>
      </w:tblPr>
      <w:tblGrid>
        <w:gridCol w:w="5112"/>
        <w:gridCol w:w="5112"/>
      </w:tblGrid>
      <w:tr>
        <w:tc>
          <w:tcPr>
            <w:tcW w:type="dxa" w:w="5112"/>
          </w:tcPr>
          <w:p>
            <w:r>
              <w:t>Sheet/table</w:t>
            </w:r>
          </w:p>
        </w:tc>
        <w:tc>
          <w:tcPr>
            <w:tcW w:type="dxa" w:w="5112"/>
          </w:tcPr>
          <w:p>
            <w:r>
              <w:t>Purpose</w:t>
            </w:r>
          </w:p>
        </w:tc>
      </w:tr>
      <w:tr>
        <w:tc>
          <w:tcPr>
            <w:tcW w:type="dxa" w:w="5112"/>
          </w:tcPr>
          <w:p>
            <w:r>
              <w:t>PATIENTS</w:t>
            </w:r>
          </w:p>
        </w:tc>
        <w:tc>
          <w:tcPr>
            <w:tcW w:type="dxa" w:w="5112"/>
          </w:tcPr>
          <w:p>
            <w:r>
              <w:t>Patient ID, demographics, measurements, life stage, goals</w:t>
            </w:r>
          </w:p>
        </w:tc>
      </w:tr>
      <w:tr>
        <w:tc>
          <w:tcPr>
            <w:tcW w:type="dxa" w:w="5112"/>
          </w:tcPr>
          <w:p>
            <w:r>
              <w:t>QUESTIONNAIRE</w:t>
            </w:r>
          </w:p>
        </w:tc>
        <w:tc>
          <w:tcPr>
            <w:tcW w:type="dxa" w:w="5112"/>
          </w:tcPr>
          <w:p>
            <w:r>
              <w:t>Answers and timestamps</w:t>
            </w:r>
          </w:p>
        </w:tc>
      </w:tr>
      <w:tr>
        <w:tc>
          <w:tcPr>
            <w:tcW w:type="dxa" w:w="5112"/>
          </w:tcPr>
          <w:p>
            <w:r>
              <w:t>EER_RULES</w:t>
            </w:r>
          </w:p>
        </w:tc>
        <w:tc>
          <w:tcPr>
            <w:tcW w:type="dxa" w:w="5112"/>
          </w:tcPr>
          <w:p>
            <w:r>
              <w:t>Age/sex/activity/life-stage equations and lookup parameters</w:t>
            </w:r>
          </w:p>
        </w:tc>
      </w:tr>
      <w:tr>
        <w:tc>
          <w:tcPr>
            <w:tcW w:type="dxa" w:w="5112"/>
          </w:tcPr>
          <w:p>
            <w:r>
              <w:t>GOAL_RULES</w:t>
            </w:r>
          </w:p>
        </w:tc>
        <w:tc>
          <w:tcPr>
            <w:tcW w:type="dxa" w:w="5112"/>
          </w:tcPr>
          <w:p>
            <w:r>
              <w:t>Deficit/surplus rules and safety limits</w:t>
            </w:r>
          </w:p>
        </w:tc>
      </w:tr>
      <w:tr>
        <w:tc>
          <w:tcPr>
            <w:tcW w:type="dxa" w:w="5112"/>
          </w:tcPr>
          <w:p>
            <w:r>
              <w:t>MACRO_RULES</w:t>
            </w:r>
          </w:p>
        </w:tc>
        <w:tc>
          <w:tcPr>
            <w:tcW w:type="dxa" w:w="5112"/>
          </w:tcPr>
          <w:p>
            <w:r>
              <w:t>Protein/fat/CHO/fiber rules</w:t>
            </w:r>
          </w:p>
        </w:tc>
      </w:tr>
      <w:tr>
        <w:tc>
          <w:tcPr>
            <w:tcW w:type="dxa" w:w="5112"/>
          </w:tcPr>
          <w:p>
            <w:r>
              <w:t>MEDICAL_RULES</w:t>
            </w:r>
          </w:p>
        </w:tc>
        <w:tc>
          <w:tcPr>
            <w:tcW w:type="dxa" w:w="5112"/>
          </w:tcPr>
          <w:p>
            <w:r>
              <w:t>Condition-specific modifiers and overrides</w:t>
            </w:r>
          </w:p>
        </w:tc>
      </w:tr>
      <w:tr>
        <w:tc>
          <w:tcPr>
            <w:tcW w:type="dxa" w:w="5112"/>
          </w:tcPr>
          <w:p>
            <w:r>
              <w:t>FOODS</w:t>
            </w:r>
          </w:p>
        </w:tc>
        <w:tc>
          <w:tcPr>
            <w:tcW w:type="dxa" w:w="5112"/>
          </w:tcPr>
          <w:p>
            <w:r>
              <w:t>Calories, protein, CHO, fat, fiber, sodium, micronutrients per 100 g</w:t>
            </w:r>
          </w:p>
        </w:tc>
      </w:tr>
      <w:tr>
        <w:tc>
          <w:tcPr>
            <w:tcW w:type="dxa" w:w="5112"/>
          </w:tcPr>
          <w:p>
            <w:r>
              <w:t>RECIPES</w:t>
            </w:r>
          </w:p>
        </w:tc>
        <w:tc>
          <w:tcPr>
            <w:tcW w:type="dxa" w:w="5112"/>
          </w:tcPr>
          <w:p>
            <w:r>
              <w:t>Ingredients, quantities, servings, nutritional totals</w:t>
            </w:r>
          </w:p>
        </w:tc>
      </w:tr>
      <w:tr>
        <w:tc>
          <w:tcPr>
            <w:tcW w:type="dxa" w:w="5112"/>
          </w:tcPr>
          <w:p>
            <w:r>
              <w:t>MEAL_TEMPLATES</w:t>
            </w:r>
          </w:p>
        </w:tc>
        <w:tc>
          <w:tcPr>
            <w:tcW w:type="dxa" w:w="5112"/>
          </w:tcPr>
          <w:p>
            <w:r>
              <w:t>Meal composition and distribution</w:t>
            </w:r>
          </w:p>
        </w:tc>
      </w:tr>
      <w:tr>
        <w:tc>
          <w:tcPr>
            <w:tcW w:type="dxa" w:w="5112"/>
          </w:tcPr>
          <w:p>
            <w:r>
              <w:t>SUBSTITUTIONS</w:t>
            </w:r>
          </w:p>
        </w:tc>
        <w:tc>
          <w:tcPr>
            <w:tcW w:type="dxa" w:w="5112"/>
          </w:tcPr>
          <w:p>
            <w:r>
              <w:t>Equivalent foods/recipes and allergy-safe alternatives</w:t>
            </w:r>
          </w:p>
        </w:tc>
      </w:tr>
      <w:tr>
        <w:tc>
          <w:tcPr>
            <w:tcW w:type="dxa" w:w="5112"/>
          </w:tcPr>
          <w:p>
            <w:r>
              <w:t>PLANS</w:t>
            </w:r>
          </w:p>
        </w:tc>
        <w:tc>
          <w:tcPr>
            <w:tcW w:type="dxa" w:w="5112"/>
          </w:tcPr>
          <w:p>
            <w:r>
              <w:t>Generated weekly/monthly plans</w:t>
            </w:r>
          </w:p>
        </w:tc>
      </w:tr>
      <w:tr>
        <w:tc>
          <w:tcPr>
            <w:tcW w:type="dxa" w:w="5112"/>
          </w:tcPr>
          <w:p>
            <w:r>
              <w:t>SHOPPING_LISTS</w:t>
            </w:r>
          </w:p>
        </w:tc>
        <w:tc>
          <w:tcPr>
            <w:tcW w:type="dxa" w:w="5112"/>
          </w:tcPr>
          <w:p>
            <w:r>
              <w:t>Aggregated ingredients</w:t>
            </w:r>
          </w:p>
        </w:tc>
      </w:tr>
      <w:tr>
        <w:tc>
          <w:tcPr>
            <w:tcW w:type="dxa" w:w="5112"/>
          </w:tcPr>
          <w:p>
            <w:r>
              <w:t>MONITORING</w:t>
            </w:r>
          </w:p>
        </w:tc>
        <w:tc>
          <w:tcPr>
            <w:tcW w:type="dxa" w:w="5112"/>
          </w:tcPr>
          <w:p>
            <w:r>
              <w:t>Weight/growth/goal feedback</w:t>
            </w:r>
          </w:p>
        </w:tc>
      </w:tr>
    </w:tbl>
    <w:p>
      <w:pPr>
        <w:pStyle w:val="Heading1"/>
      </w:pPr>
      <w:r>
        <w:t>27. Master formula architecture</w:t>
      </w:r>
    </w:p>
    <w:p>
      <w:r>
        <w:t>Personalized Plan = Energy Requirement + Goal Adjustment + Macronutrient Targets + Fiber/Hydration + Micronutrient Targets + Life-Stage Rules + Medical Modifiers + Allergies + Preferences + Food Availability + Meal Distribution + Portion Calculation + Variety + Monitoring Feedback</w:t>
      </w:r>
    </w:p>
    <w:p>
      <w:pPr>
        <w:pStyle w:val="Heading1"/>
      </w:pPr>
      <w:r>
        <w:t>28. Developer pseudocode</w:t>
      </w:r>
    </w:p>
    <w:p>
      <w:pPr/>
      <w:r>
        <w:rPr>
          <w:rFonts w:ascii="Courier New" w:hAnsi="Courier New"/>
          <w:sz w:val="16"/>
        </w:rPr>
        <w:t>INPUT patient</w:t>
        <w:br/>
        <w:br/>
        <w:t>classify(patient)</w:t>
        <w:br/>
        <w:br/>
        <w:t>IF pediatric:</w:t>
        <w:br/>
        <w:t xml:space="preserve">    energy = pediatric_EER(patient)</w:t>
        <w:br/>
        <w:t xml:space="preserve">    goal = growth_based_goal(patient)</w:t>
        <w:br/>
        <w:t>ELSE IF pregnancy:</w:t>
        <w:br/>
        <w:t xml:space="preserve">    energy = pregnancy_EER(patient)</w:t>
        <w:br/>
        <w:t>ELSE IF breastfeeding:</w:t>
        <w:br/>
        <w:t xml:space="preserve">    energy = lactation_EER(patient)</w:t>
        <w:br/>
        <w:t>ELSE:</w:t>
        <w:br/>
        <w:t xml:space="preserve">    energy = adult_EER(patient)</w:t>
        <w:br/>
        <w:br/>
        <w:t>IF adult AND goal == maintenance:</w:t>
        <w:br/>
        <w:t xml:space="preserve">    target_kcal = energy</w:t>
        <w:br/>
        <w:t>ELSE IF adult AND goal == weight_loss:</w:t>
        <w:br/>
        <w:t xml:space="preserve">    target_kcal = energy - selected_deficit</w:t>
        <w:br/>
        <w:t>ELSE IF adult AND goal == weight_gain:</w:t>
        <w:br/>
        <w:t xml:space="preserve">    target_kcal = energy + selected_surplus</w:t>
        <w:br/>
        <w:t>ELSE IF adult AND goal == muscle_gain:</w:t>
        <w:br/>
        <w:t xml:space="preserve">    target_kcal = energy + modest_surplus</w:t>
        <w:br/>
        <w:t>ELSE IF adult AND goal == fat_loss:</w:t>
        <w:br/>
        <w:t xml:space="preserve">    target_kcal = energy - modest_deficit</w:t>
        <w:br/>
        <w:br/>
        <w:t>protein = calculate_protein(patient, target_kcal)</w:t>
        <w:br/>
        <w:t>fat = calculate_fat(patient, target_kcal, protein)</w:t>
        <w:br/>
        <w:t>carbs = calculate_remaining_carbohydrate(target_kcal, protein, fat)</w:t>
        <w:br/>
        <w:t>fiber = calculate_fiber(target_kcal)</w:t>
        <w:br/>
        <w:t>water = calculate_water(patient)</w:t>
        <w:br/>
        <w:br/>
        <w:t>apply_medical_modifiers(patient)</w:t>
        <w:br/>
        <w:t>apply_allergy_exclusions(patient)</w:t>
        <w:br/>
        <w:t>apply_food_preferences(patient)</w:t>
        <w:br/>
        <w:t>apply_food_availability(patient)</w:t>
        <w:br/>
        <w:br/>
        <w:t>build_meals(target_kcal, protein, carbs, fat)</w:t>
        <w:br/>
        <w:t>validate_daily_totals()</w:t>
        <w:br/>
        <w:t>validate_medical_constraints()</w:t>
        <w:br/>
        <w:t>generate_7_day_plan()</w:t>
        <w:br/>
        <w:br/>
        <w:t>IF paid:</w:t>
        <w:br/>
        <w:t xml:space="preserve">    generate_30_day_plan()</w:t>
        <w:br/>
        <w:t xml:space="preserve">    aggregate_shopping_list()</w:t>
        <w:br/>
        <w:br/>
        <w:t>monitor()</w:t>
        <w:br/>
        <w:t>adjust_next_cycle_if_needed()</w:t>
        <w:br/>
      </w:r>
    </w:p>
    <w:p>
      <w:pPr>
        <w:pStyle w:val="Heading1"/>
      </w:pPr>
      <w:r>
        <w:t>29. Primary references for implementation</w:t>
      </w:r>
    </w:p>
    <w:p>
      <w:pPr>
        <w:pStyle w:val="ListBullet"/>
      </w:pPr>
      <w:r>
        <w:t>National Academies of Sciences, Engineering, and Medicine. Dietary Reference Intakes for Energy (2023) — Estimated Energy Requirement equations for infants, children, adolescents, adults, pregnancy and lactation.</w:t>
      </w:r>
    </w:p>
    <w:p>
      <w:pPr>
        <w:pStyle w:val="ListBullet"/>
      </w:pPr>
      <w:r>
        <w:t>American Diabetes Association. Standards of Care in Diabetes—2026: nutrition/health behavior and diabetes-in-pregnancy recommendations.</w:t>
      </w:r>
    </w:p>
    <w:p/>
    <w:p>
      <w:pPr>
        <w:jc w:val="center"/>
      </w:pPr>
      <w:r>
        <w:rPr>
          <w:b/>
        </w:rPr>
        <w:t>WELLNEST بيت العافية • Calculation Engine Blueprint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