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6EAD" w:rsidRPr="003A6EAD" w:rsidRDefault="003A6EAD" w:rsidP="003A6EAD">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bookmarkStart w:id="0" w:name="_GoBack"/>
      <w:r w:rsidRPr="003A6EAD">
        <w:rPr>
          <w:rFonts w:ascii="Times New Roman" w:eastAsia="Times New Roman" w:hAnsi="Times New Roman" w:cs="Times New Roman"/>
          <w:b/>
          <w:bCs/>
          <w:kern w:val="36"/>
          <w:sz w:val="48"/>
          <w:szCs w:val="48"/>
          <w:u w:val="single"/>
        </w:rPr>
        <w:t>CORPORATE GOVERNACE</w:t>
      </w:r>
    </w:p>
    <w:bookmarkEnd w:id="0"/>
    <w:p w:rsidR="003A6EAD" w:rsidRPr="003A6EAD" w:rsidRDefault="003A6EAD" w:rsidP="003A6E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6EAD">
        <w:rPr>
          <w:rFonts w:ascii="Times New Roman" w:eastAsia="Times New Roman" w:hAnsi="Times New Roman" w:cs="Times New Roman"/>
          <w:b/>
          <w:bCs/>
          <w:kern w:val="36"/>
          <w:sz w:val="48"/>
          <w:szCs w:val="48"/>
        </w:rPr>
        <w:t>Common Mistakes Made by Founders in the UAE</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Company formation is only the beginning of operating a business in the UAE. Long-term stability depends on maintaining proper compliance, accurate records and effective corporate governance.</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Many businesses experience operational disruptions not because of poor market conditions, but because important compliance obligations were overlooked or mismanaged. The following are some of the most common mistakes made by founders.</w:t>
      </w:r>
    </w:p>
    <w:p w:rsidR="003A6EAD" w:rsidRPr="003A6EAD" w:rsidRDefault="003A6EAD" w:rsidP="003A6EAD">
      <w:pPr>
        <w:spacing w:before="100" w:beforeAutospacing="1" w:after="100" w:afterAutospacing="1" w:line="240" w:lineRule="auto"/>
        <w:outlineLvl w:val="1"/>
        <w:rPr>
          <w:rFonts w:ascii="Times New Roman" w:eastAsia="Times New Roman" w:hAnsi="Times New Roman" w:cs="Times New Roman"/>
          <w:b/>
          <w:bCs/>
          <w:sz w:val="36"/>
          <w:szCs w:val="36"/>
        </w:rPr>
      </w:pPr>
      <w:r w:rsidRPr="003A6EAD">
        <w:rPr>
          <w:rFonts w:ascii="Times New Roman" w:eastAsia="Times New Roman" w:hAnsi="Times New Roman" w:cs="Times New Roman"/>
          <w:b/>
          <w:bCs/>
          <w:sz w:val="36"/>
          <w:szCs w:val="36"/>
        </w:rPr>
        <w:t>1. Missing trade-license renewal deadlines</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Failing to renew a trade license on time can lead to fines, suspension of business activities and difficulty completing banking, immigration and government transactions.</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An expired license may also prevent the company from renewing employee visas, obtaining new permits or completing corporate amendments. Every business should maintain a structured compliance calendar from its first year of operation.</w:t>
      </w:r>
    </w:p>
    <w:p w:rsidR="003A6EAD" w:rsidRPr="003A6EAD" w:rsidRDefault="003A6EAD" w:rsidP="003A6EAD">
      <w:pPr>
        <w:spacing w:before="100" w:beforeAutospacing="1" w:after="100" w:afterAutospacing="1" w:line="240" w:lineRule="auto"/>
        <w:outlineLvl w:val="1"/>
        <w:rPr>
          <w:rFonts w:ascii="Times New Roman" w:eastAsia="Times New Roman" w:hAnsi="Times New Roman" w:cs="Times New Roman"/>
          <w:b/>
          <w:bCs/>
          <w:sz w:val="36"/>
          <w:szCs w:val="36"/>
        </w:rPr>
      </w:pPr>
      <w:r w:rsidRPr="003A6EAD">
        <w:rPr>
          <w:rFonts w:ascii="Times New Roman" w:eastAsia="Times New Roman" w:hAnsi="Times New Roman" w:cs="Times New Roman"/>
          <w:b/>
          <w:bCs/>
          <w:sz w:val="36"/>
          <w:szCs w:val="36"/>
        </w:rPr>
        <w:t>2. Ignoring Corporate Tax and VAT obligations</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Some founders assume that a new or small business has no tax responsibilities. However, even companies operating below applicable thresholds must monitor their revenue, expenses and registration position.</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Businesses should maintain proper accounting records, preserve supporting invoices and regularly review their Corporate Tax and VAT obligations. Ignoring these responsibilities can result in late registration, inaccurate returns, penalties and unexpected financial exposure.</w:t>
      </w:r>
    </w:p>
    <w:p w:rsidR="003A6EAD" w:rsidRPr="003A6EAD" w:rsidRDefault="003A6EAD" w:rsidP="003A6EAD">
      <w:pPr>
        <w:spacing w:before="100" w:beforeAutospacing="1" w:after="100" w:afterAutospacing="1" w:line="240" w:lineRule="auto"/>
        <w:outlineLvl w:val="1"/>
        <w:rPr>
          <w:rFonts w:ascii="Times New Roman" w:eastAsia="Times New Roman" w:hAnsi="Times New Roman" w:cs="Times New Roman"/>
          <w:b/>
          <w:bCs/>
          <w:sz w:val="36"/>
          <w:szCs w:val="36"/>
        </w:rPr>
      </w:pPr>
      <w:r w:rsidRPr="003A6EAD">
        <w:rPr>
          <w:rFonts w:ascii="Times New Roman" w:eastAsia="Times New Roman" w:hAnsi="Times New Roman" w:cs="Times New Roman"/>
          <w:b/>
          <w:bCs/>
          <w:sz w:val="36"/>
          <w:szCs w:val="36"/>
        </w:rPr>
        <w:t>3. Maintaining poor financial records</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Mixing personal and company funds, failing to record expenses, issuing incomplete invoices and neglecting bank reconciliation can create serious accounting and tax problems.</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Sound bookkeeping allows the company to demonstrate its income, expenses, assets, liabilities and source of funds. It also supports tax filings, audits, financing applications and investor due diligence.</w:t>
      </w:r>
    </w:p>
    <w:p w:rsidR="003A6EAD" w:rsidRPr="003A6EAD" w:rsidRDefault="003A6EAD" w:rsidP="003A6EAD">
      <w:pPr>
        <w:spacing w:before="100" w:beforeAutospacing="1" w:after="100" w:afterAutospacing="1" w:line="240" w:lineRule="auto"/>
        <w:outlineLvl w:val="1"/>
        <w:rPr>
          <w:rFonts w:ascii="Times New Roman" w:eastAsia="Times New Roman" w:hAnsi="Times New Roman" w:cs="Times New Roman"/>
          <w:b/>
          <w:bCs/>
          <w:sz w:val="36"/>
          <w:szCs w:val="36"/>
        </w:rPr>
      </w:pPr>
      <w:r w:rsidRPr="003A6EAD">
        <w:rPr>
          <w:rFonts w:ascii="Times New Roman" w:eastAsia="Times New Roman" w:hAnsi="Times New Roman" w:cs="Times New Roman"/>
          <w:b/>
          <w:bCs/>
          <w:sz w:val="36"/>
          <w:szCs w:val="36"/>
        </w:rPr>
        <w:lastRenderedPageBreak/>
        <w:t>4. Failing to update beneficial-ownership records</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Ultimate Beneficial Owner records must accurately identify the individuals who ultimately own or control the company.</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 xml:space="preserve">Changes involving shareholders, directors, managers, </w:t>
      </w:r>
      <w:proofErr w:type="spellStart"/>
      <w:r w:rsidRPr="003A6EAD">
        <w:rPr>
          <w:rFonts w:ascii="Times New Roman" w:eastAsia="Times New Roman" w:hAnsi="Times New Roman" w:cs="Times New Roman"/>
          <w:sz w:val="24"/>
          <w:szCs w:val="24"/>
        </w:rPr>
        <w:t>authorised</w:t>
      </w:r>
      <w:proofErr w:type="spellEnd"/>
      <w:r w:rsidRPr="003A6EAD">
        <w:rPr>
          <w:rFonts w:ascii="Times New Roman" w:eastAsia="Times New Roman" w:hAnsi="Times New Roman" w:cs="Times New Roman"/>
          <w:sz w:val="24"/>
          <w:szCs w:val="24"/>
        </w:rPr>
        <w:t xml:space="preserve"> signatories or ownership structures should be properly documented and reported where required. Inaccurate or outdated records may lead to regulatory penalties and difficulties with banks or licensing authorities.</w:t>
      </w:r>
    </w:p>
    <w:p w:rsidR="003A6EAD" w:rsidRPr="003A6EAD" w:rsidRDefault="003A6EAD" w:rsidP="003A6EAD">
      <w:pPr>
        <w:spacing w:before="100" w:beforeAutospacing="1" w:after="100" w:afterAutospacing="1" w:line="240" w:lineRule="auto"/>
        <w:outlineLvl w:val="1"/>
        <w:rPr>
          <w:rFonts w:ascii="Times New Roman" w:eastAsia="Times New Roman" w:hAnsi="Times New Roman" w:cs="Times New Roman"/>
          <w:b/>
          <w:bCs/>
          <w:sz w:val="36"/>
          <w:szCs w:val="36"/>
        </w:rPr>
      </w:pPr>
      <w:r w:rsidRPr="003A6EAD">
        <w:rPr>
          <w:rFonts w:ascii="Times New Roman" w:eastAsia="Times New Roman" w:hAnsi="Times New Roman" w:cs="Times New Roman"/>
          <w:b/>
          <w:bCs/>
          <w:sz w:val="36"/>
          <w:szCs w:val="36"/>
        </w:rPr>
        <w:t>5. Neglecting banking and source-of-funds documentation</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UAE banks conduct periodic compliance reviews. Unclear ownership arrangements, unexplained transactions or inconsistencies between the company’s license, invoices and banking activity may result in requests for additional information or account restrictions.</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Founders should maintain:</w:t>
      </w:r>
    </w:p>
    <w:p w:rsidR="003A6EAD" w:rsidRPr="003A6EAD" w:rsidRDefault="003A6EAD" w:rsidP="003A6E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Shareholder and board resolutions;</w:t>
      </w:r>
    </w:p>
    <w:p w:rsidR="003A6EAD" w:rsidRPr="003A6EAD" w:rsidRDefault="003A6EAD" w:rsidP="003A6E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Commercial contracts and invoices;</w:t>
      </w:r>
    </w:p>
    <w:p w:rsidR="003A6EAD" w:rsidRPr="003A6EAD" w:rsidRDefault="003A6EAD" w:rsidP="003A6E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Beneficial-ownership records;</w:t>
      </w:r>
    </w:p>
    <w:p w:rsidR="003A6EAD" w:rsidRPr="003A6EAD" w:rsidRDefault="003A6EAD" w:rsidP="003A6E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Source-of-funds and source-of-wealth evidence;</w:t>
      </w:r>
    </w:p>
    <w:p w:rsidR="003A6EAD" w:rsidRPr="003A6EAD" w:rsidRDefault="003A6EAD" w:rsidP="003A6E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 xml:space="preserve">Properly </w:t>
      </w:r>
      <w:proofErr w:type="spellStart"/>
      <w:r w:rsidRPr="003A6EAD">
        <w:rPr>
          <w:rFonts w:ascii="Times New Roman" w:eastAsia="Times New Roman" w:hAnsi="Times New Roman" w:cs="Times New Roman"/>
          <w:sz w:val="24"/>
          <w:szCs w:val="24"/>
        </w:rPr>
        <w:t>authorised</w:t>
      </w:r>
      <w:proofErr w:type="spellEnd"/>
      <w:r w:rsidRPr="003A6EAD">
        <w:rPr>
          <w:rFonts w:ascii="Times New Roman" w:eastAsia="Times New Roman" w:hAnsi="Times New Roman" w:cs="Times New Roman"/>
          <w:sz w:val="24"/>
          <w:szCs w:val="24"/>
        </w:rPr>
        <w:t xml:space="preserve"> signatory records; and</w:t>
      </w:r>
    </w:p>
    <w:p w:rsidR="003A6EAD" w:rsidRPr="003A6EAD" w:rsidRDefault="003A6EAD" w:rsidP="003A6E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Explanations and supporting documents for material transactions.</w:t>
      </w:r>
    </w:p>
    <w:p w:rsidR="003A6EAD" w:rsidRPr="003A6EAD" w:rsidRDefault="003A6EAD" w:rsidP="003A6EAD">
      <w:pPr>
        <w:spacing w:before="100" w:beforeAutospacing="1" w:after="100" w:afterAutospacing="1" w:line="240" w:lineRule="auto"/>
        <w:outlineLvl w:val="1"/>
        <w:rPr>
          <w:rFonts w:ascii="Times New Roman" w:eastAsia="Times New Roman" w:hAnsi="Times New Roman" w:cs="Times New Roman"/>
          <w:b/>
          <w:bCs/>
          <w:sz w:val="36"/>
          <w:szCs w:val="36"/>
        </w:rPr>
      </w:pPr>
      <w:r w:rsidRPr="003A6EAD">
        <w:rPr>
          <w:rFonts w:ascii="Times New Roman" w:eastAsia="Times New Roman" w:hAnsi="Times New Roman" w:cs="Times New Roman"/>
          <w:b/>
          <w:bCs/>
          <w:sz w:val="36"/>
          <w:szCs w:val="36"/>
        </w:rPr>
        <w:t>6. Operating outside the licensed activities</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 xml:space="preserve">A company may conduct only the activities </w:t>
      </w:r>
      <w:proofErr w:type="spellStart"/>
      <w:r w:rsidRPr="003A6EAD">
        <w:rPr>
          <w:rFonts w:ascii="Times New Roman" w:eastAsia="Times New Roman" w:hAnsi="Times New Roman" w:cs="Times New Roman"/>
          <w:sz w:val="24"/>
          <w:szCs w:val="24"/>
        </w:rPr>
        <w:t>authorised</w:t>
      </w:r>
      <w:proofErr w:type="spellEnd"/>
      <w:r w:rsidRPr="003A6EAD">
        <w:rPr>
          <w:rFonts w:ascii="Times New Roman" w:eastAsia="Times New Roman" w:hAnsi="Times New Roman" w:cs="Times New Roman"/>
          <w:sz w:val="24"/>
          <w:szCs w:val="24"/>
        </w:rPr>
        <w:t xml:space="preserve"> under its trade license and relevant regulatory approvals.</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 xml:space="preserve">Expanding into an unlicensed activity without first amending the license can expose the company to fines, complaints, contract disputes or regulatory action. Business expansion should always be </w:t>
      </w:r>
      <w:proofErr w:type="spellStart"/>
      <w:r w:rsidRPr="003A6EAD">
        <w:rPr>
          <w:rFonts w:ascii="Times New Roman" w:eastAsia="Times New Roman" w:hAnsi="Times New Roman" w:cs="Times New Roman"/>
          <w:sz w:val="24"/>
          <w:szCs w:val="24"/>
        </w:rPr>
        <w:t>formalised</w:t>
      </w:r>
      <w:proofErr w:type="spellEnd"/>
      <w:r w:rsidRPr="003A6EAD">
        <w:rPr>
          <w:rFonts w:ascii="Times New Roman" w:eastAsia="Times New Roman" w:hAnsi="Times New Roman" w:cs="Times New Roman"/>
          <w:sz w:val="24"/>
          <w:szCs w:val="24"/>
        </w:rPr>
        <w:t xml:space="preserve"> through the appropriate licensing procedure.</w:t>
      </w:r>
    </w:p>
    <w:p w:rsidR="003A6EAD" w:rsidRPr="003A6EAD" w:rsidRDefault="003A6EAD" w:rsidP="003A6EAD">
      <w:pPr>
        <w:spacing w:before="100" w:beforeAutospacing="1" w:after="100" w:afterAutospacing="1" w:line="240" w:lineRule="auto"/>
        <w:outlineLvl w:val="1"/>
        <w:rPr>
          <w:rFonts w:ascii="Times New Roman" w:eastAsia="Times New Roman" w:hAnsi="Times New Roman" w:cs="Times New Roman"/>
          <w:b/>
          <w:bCs/>
          <w:sz w:val="36"/>
          <w:szCs w:val="36"/>
        </w:rPr>
      </w:pPr>
      <w:r w:rsidRPr="003A6EAD">
        <w:rPr>
          <w:rFonts w:ascii="Times New Roman" w:eastAsia="Times New Roman" w:hAnsi="Times New Roman" w:cs="Times New Roman"/>
          <w:b/>
          <w:bCs/>
          <w:sz w:val="36"/>
          <w:szCs w:val="36"/>
        </w:rPr>
        <w:t>7. Treating residency and company compliance separately</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Company and residency compliance are often connected. If a company’s license, immigration file or establishment card expires or becomes restricted, residence visas sponsored by that company may also be affected.</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Founders should coordinate the renewal of:</w:t>
      </w:r>
    </w:p>
    <w:p w:rsidR="003A6EAD" w:rsidRPr="003A6EAD" w:rsidRDefault="003A6EAD" w:rsidP="003A6E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Trade licenses;</w:t>
      </w:r>
    </w:p>
    <w:p w:rsidR="003A6EAD" w:rsidRPr="003A6EAD" w:rsidRDefault="003A6EAD" w:rsidP="003A6E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Establishment cards;</w:t>
      </w:r>
    </w:p>
    <w:p w:rsidR="003A6EAD" w:rsidRPr="003A6EAD" w:rsidRDefault="003A6EAD" w:rsidP="003A6E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Immigration files;</w:t>
      </w:r>
    </w:p>
    <w:p w:rsidR="003A6EAD" w:rsidRPr="003A6EAD" w:rsidRDefault="003A6EAD" w:rsidP="003A6E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lastRenderedPageBreak/>
        <w:t>Employment permits;</w:t>
      </w:r>
    </w:p>
    <w:p w:rsidR="003A6EAD" w:rsidRPr="003A6EAD" w:rsidRDefault="003A6EAD" w:rsidP="003A6E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Residence visas;</w:t>
      </w:r>
    </w:p>
    <w:p w:rsidR="003A6EAD" w:rsidRPr="003A6EAD" w:rsidRDefault="003A6EAD" w:rsidP="003A6E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Emirates IDs; and</w:t>
      </w:r>
    </w:p>
    <w:p w:rsidR="003A6EAD" w:rsidRPr="003A6EAD" w:rsidRDefault="003A6EAD" w:rsidP="003A6E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Health insurance.</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Business and residency structures should remain aligned at all times.</w:t>
      </w:r>
    </w:p>
    <w:p w:rsidR="003A6EAD" w:rsidRPr="003A6EAD" w:rsidRDefault="003A6EAD" w:rsidP="003A6EAD">
      <w:pPr>
        <w:spacing w:before="100" w:beforeAutospacing="1" w:after="100" w:afterAutospacing="1" w:line="240" w:lineRule="auto"/>
        <w:outlineLvl w:val="1"/>
        <w:rPr>
          <w:rFonts w:ascii="Times New Roman" w:eastAsia="Times New Roman" w:hAnsi="Times New Roman" w:cs="Times New Roman"/>
          <w:b/>
          <w:bCs/>
          <w:sz w:val="36"/>
          <w:szCs w:val="36"/>
        </w:rPr>
      </w:pPr>
      <w:r w:rsidRPr="003A6EAD">
        <w:rPr>
          <w:rFonts w:ascii="Times New Roman" w:eastAsia="Times New Roman" w:hAnsi="Times New Roman" w:cs="Times New Roman"/>
          <w:b/>
          <w:bCs/>
          <w:sz w:val="36"/>
          <w:szCs w:val="36"/>
        </w:rPr>
        <w:t>8. Relying entirely on third-party service providers</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Accountants, consultants and corporate-service providers can assist with compliance, but the company and its management remain responsible for ensuring that obligations are fulfilled.</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Founders should request copies of filings, receipts, approvals and official confirmations instead of assuming that every task has been completed.</w:t>
      </w:r>
    </w:p>
    <w:p w:rsidR="003A6EAD" w:rsidRPr="003A6EAD" w:rsidRDefault="003A6EAD" w:rsidP="003A6EAD">
      <w:pPr>
        <w:spacing w:before="100" w:beforeAutospacing="1" w:after="100" w:afterAutospacing="1" w:line="240" w:lineRule="auto"/>
        <w:outlineLvl w:val="1"/>
        <w:rPr>
          <w:rFonts w:ascii="Times New Roman" w:eastAsia="Times New Roman" w:hAnsi="Times New Roman" w:cs="Times New Roman"/>
          <w:b/>
          <w:bCs/>
          <w:sz w:val="36"/>
          <w:szCs w:val="36"/>
        </w:rPr>
      </w:pPr>
      <w:r w:rsidRPr="003A6EAD">
        <w:rPr>
          <w:rFonts w:ascii="Times New Roman" w:eastAsia="Times New Roman" w:hAnsi="Times New Roman" w:cs="Times New Roman"/>
          <w:b/>
          <w:bCs/>
          <w:sz w:val="36"/>
          <w:szCs w:val="36"/>
        </w:rPr>
        <w:t>9. Failing to plan for ownership or management changes</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Share transfers, the death or departure of a shareholder, changes of manager and amendments to bank-signing authority can disrupt a company when no succession or continuity plan exists.</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Proper constitutional documents, shareholder agreements, resolutions and powers of attorney help protect the business during major changes.</w:t>
      </w:r>
    </w:p>
    <w:p w:rsidR="003A6EAD" w:rsidRPr="003A6EAD" w:rsidRDefault="003A6EAD" w:rsidP="003A6EAD">
      <w:pPr>
        <w:spacing w:before="100" w:beforeAutospacing="1" w:after="100" w:afterAutospacing="1" w:line="240" w:lineRule="auto"/>
        <w:outlineLvl w:val="1"/>
        <w:rPr>
          <w:rFonts w:ascii="Times New Roman" w:eastAsia="Times New Roman" w:hAnsi="Times New Roman" w:cs="Times New Roman"/>
          <w:b/>
          <w:bCs/>
          <w:sz w:val="36"/>
          <w:szCs w:val="36"/>
        </w:rPr>
      </w:pPr>
      <w:r w:rsidRPr="003A6EAD">
        <w:rPr>
          <w:rFonts w:ascii="Times New Roman" w:eastAsia="Times New Roman" w:hAnsi="Times New Roman" w:cs="Times New Roman"/>
          <w:b/>
          <w:bCs/>
          <w:sz w:val="36"/>
          <w:szCs w:val="36"/>
        </w:rPr>
        <w:t>10. Viewing compliance as unnecessary overhead</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 xml:space="preserve">Compliance should not be treated merely as an administrative expense. It is an essential risk-management function that protects the company’s </w:t>
      </w:r>
      <w:proofErr w:type="spellStart"/>
      <w:r w:rsidRPr="003A6EAD">
        <w:rPr>
          <w:rFonts w:ascii="Times New Roman" w:eastAsia="Times New Roman" w:hAnsi="Times New Roman" w:cs="Times New Roman"/>
          <w:sz w:val="24"/>
          <w:szCs w:val="24"/>
        </w:rPr>
        <w:t>licence</w:t>
      </w:r>
      <w:proofErr w:type="spellEnd"/>
      <w:r w:rsidRPr="003A6EAD">
        <w:rPr>
          <w:rFonts w:ascii="Times New Roman" w:eastAsia="Times New Roman" w:hAnsi="Times New Roman" w:cs="Times New Roman"/>
          <w:sz w:val="24"/>
          <w:szCs w:val="24"/>
        </w:rPr>
        <w:t>, banking relationships, residency structure, reputation and ability to operate.</w:t>
      </w:r>
    </w:p>
    <w:p w:rsidR="003A6EAD" w:rsidRPr="003A6EAD" w:rsidRDefault="003A6EAD" w:rsidP="003A6EAD">
      <w:pPr>
        <w:spacing w:before="100" w:beforeAutospacing="1" w:after="100" w:afterAutospacing="1" w:line="240" w:lineRule="auto"/>
        <w:rPr>
          <w:rFonts w:ascii="Times New Roman" w:eastAsia="Times New Roman" w:hAnsi="Times New Roman" w:cs="Times New Roman"/>
          <w:sz w:val="24"/>
          <w:szCs w:val="24"/>
        </w:rPr>
      </w:pPr>
      <w:r w:rsidRPr="003A6EAD">
        <w:rPr>
          <w:rFonts w:ascii="Times New Roman" w:eastAsia="Times New Roman" w:hAnsi="Times New Roman" w:cs="Times New Roman"/>
          <w:sz w:val="24"/>
          <w:szCs w:val="24"/>
        </w:rPr>
        <w:t>Businesses that maintain structured governance, accurate records and a clear compliance calendar are better positioned to achieve sustainable, long-term success in the UAE.</w:t>
      </w:r>
    </w:p>
    <w:p w:rsidR="00845029" w:rsidRDefault="00845029"/>
    <w:sectPr w:rsidR="00845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AE5BA2"/>
    <w:multiLevelType w:val="multilevel"/>
    <w:tmpl w:val="2334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2F1E37"/>
    <w:multiLevelType w:val="multilevel"/>
    <w:tmpl w:val="B94E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EAD"/>
    <w:rsid w:val="003A6EAD"/>
    <w:rsid w:val="00845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96984"/>
  <w15:chartTrackingRefBased/>
  <w15:docId w15:val="{CB084EF8-35BC-43DF-A0D2-BC6ECEE74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A6E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6E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EA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6EA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A6EA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304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754</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2026-08-27T00:35:00Z</dcterms:created>
  <dcterms:modified xsi:type="dcterms:W3CDTF">2026-08-27T00:38:00Z</dcterms:modified>
</cp:coreProperties>
</file>