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F99" w:rsidRPr="009D4F99" w:rsidRDefault="009D4F99" w:rsidP="00D1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9D4F9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EJARI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spellStart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b/>
          <w:bCs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Dubai’s official system for registering residential and commercial tenancy contracts.</w:t>
      </w: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It is administered by the Dubai Land Department (DLD) through the Real Estate Regulatory Agency framework.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When a tenancy contract is registered, the system creates an official electronic record of:</w:t>
      </w:r>
    </w:p>
    <w:p w:rsidR="00D14C06" w:rsidRPr="00D14C06" w:rsidRDefault="00D14C06" w:rsidP="00D14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landlord and tenant</w:t>
      </w:r>
    </w:p>
    <w:p w:rsidR="00D14C06" w:rsidRPr="00D14C06" w:rsidRDefault="00D14C06" w:rsidP="00D14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rented property</w:t>
      </w:r>
    </w:p>
    <w:p w:rsidR="00D14C06" w:rsidRPr="00D14C06" w:rsidRDefault="00D14C06" w:rsidP="00D14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contractual rent</w:t>
      </w:r>
    </w:p>
    <w:p w:rsidR="00D14C06" w:rsidRPr="00D14C06" w:rsidRDefault="00D14C06" w:rsidP="00D14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lease commencement and expiry dates</w:t>
      </w:r>
    </w:p>
    <w:p w:rsidR="00D14C06" w:rsidRPr="00D14C06" w:rsidRDefault="00D14C06" w:rsidP="00D14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permitted use of the property</w:t>
      </w:r>
    </w:p>
    <w:p w:rsidR="00D14C06" w:rsidRPr="00D14C06" w:rsidRDefault="00D14C06" w:rsidP="00D14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agreed tenancy terms</w:t>
      </w:r>
    </w:p>
    <w:p w:rsidR="00D14C06" w:rsidRPr="00D14C06" w:rsidRDefault="00D14C06" w:rsidP="00D14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property’s DEWA and municipality details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The customer then receives an </w:t>
      </w:r>
      <w:proofErr w:type="spellStart"/>
      <w:r w:rsidRPr="00D14C06">
        <w:rPr>
          <w:rFonts w:ascii="Times New Roman" w:eastAsia="Times New Roman" w:hAnsi="Times New Roman" w:cs="Times New Roman"/>
          <w:b/>
          <w:bCs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Tenancy Contract Registration Certificate</w:t>
      </w: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with a unique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number.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An ordinary signed tenancy agreement and an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certificate are therefore related but different: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6790"/>
      </w:tblGrid>
      <w:tr w:rsidR="00D14C06" w:rsidRPr="00D14C06" w:rsidTr="00D14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4C06" w:rsidRPr="00D14C06" w:rsidRDefault="00D14C06" w:rsidP="00D14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D14C06" w:rsidRPr="00D14C06" w:rsidRDefault="00D14C06" w:rsidP="00D14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14C06" w:rsidRPr="00D14C06" w:rsidTr="00D14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C06" w:rsidRPr="00D14C06" w:rsidRDefault="00D14C06" w:rsidP="00D14C0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D14C0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Tenancy agreement</w:t>
            </w:r>
          </w:p>
        </w:tc>
        <w:tc>
          <w:tcPr>
            <w:tcW w:w="0" w:type="auto"/>
            <w:vAlign w:val="center"/>
            <w:hideMark/>
          </w:tcPr>
          <w:p w:rsidR="00D14C06" w:rsidRPr="00D14C06" w:rsidRDefault="00D14C06" w:rsidP="00D14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D14C0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Records the private terms agreed between the landlord and tenant</w:t>
            </w:r>
          </w:p>
        </w:tc>
      </w:tr>
      <w:tr w:rsidR="00D14C06" w:rsidRPr="00D14C06" w:rsidTr="00D14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C06" w:rsidRPr="00D14C06" w:rsidRDefault="00D14C06" w:rsidP="00D14C0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4C06">
              <w:rPr>
                <w:rFonts w:ascii="Times New Roman" w:eastAsia="Times New Roman" w:hAnsi="Times New Roman" w:cs="Times New Roman"/>
                <w:sz w:val="24"/>
                <w:szCs w:val="24"/>
              </w:rPr>
              <w:t>Ejari</w:t>
            </w:r>
            <w:proofErr w:type="spellEnd"/>
            <w:r w:rsidRPr="00D14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certificate</w:t>
            </w:r>
          </w:p>
        </w:tc>
        <w:tc>
          <w:tcPr>
            <w:tcW w:w="0" w:type="auto"/>
            <w:vAlign w:val="center"/>
            <w:hideMark/>
          </w:tcPr>
          <w:p w:rsidR="00D14C06" w:rsidRPr="00D14C06" w:rsidRDefault="00D14C06" w:rsidP="00D14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C06">
              <w:rPr>
                <w:rFonts w:ascii="Times New Roman" w:eastAsia="Times New Roman" w:hAnsi="Times New Roman" w:cs="Times New Roman"/>
                <w:sz w:val="24"/>
                <w:szCs w:val="24"/>
              </w:rPr>
              <w:t>Confirms that the tenancy has been registered in Dubai’s official rental system</w:t>
            </w:r>
          </w:p>
        </w:tc>
      </w:tr>
    </w:tbl>
    <w:p w:rsidR="00D14C06" w:rsidRPr="00B243BE" w:rsidRDefault="00D14C06" w:rsidP="00D14C06">
      <w:pPr>
        <w:rPr>
          <w:rFonts w:ascii="Arial Black" w:hAnsi="Arial Black"/>
          <w:sz w:val="48"/>
          <w:szCs w:val="48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All rental and lease contracts for Dubai properties are expected to be registered through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, including renewals, cancellations, transfers and terminations. 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sz w:val="24"/>
          <w:szCs w:val="24"/>
        </w:rPr>
        <w:t>Expert advice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related services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reach us on: 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A7F">
        <w:rPr>
          <w:rFonts w:ascii="Arial Black" w:hAnsi="Arial Black"/>
          <w:sz w:val="24"/>
          <w:szCs w:val="24"/>
        </w:rPr>
        <w:t>CALL TO ACTION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applies specifically to Dubai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is sometimes incorrectly described as a UAE-wide system. It is specifically the tenancy-registration system for properties located in Dubai.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Other Emirates use their own systems or competent authorities. For example:</w:t>
      </w:r>
    </w:p>
    <w:p w:rsidR="00D14C06" w:rsidRPr="00D14C06" w:rsidRDefault="00D14C06" w:rsidP="00D14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Dubai: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</w:p>
    <w:p w:rsidR="00D14C06" w:rsidRPr="00D14C06" w:rsidRDefault="00D14C06" w:rsidP="00D14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Abu Dhabi: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Tawtheeq</w:t>
      </w:r>
      <w:proofErr w:type="spellEnd"/>
    </w:p>
    <w:p w:rsidR="00D14C06" w:rsidRPr="00D14C06" w:rsidRDefault="00D14C06" w:rsidP="00D14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Sharjah: Sharjah Municipality tenancy registration</w:t>
      </w:r>
    </w:p>
    <w:p w:rsidR="00D14C06" w:rsidRPr="00D14C06" w:rsidRDefault="00D14C06" w:rsidP="00D14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Other Emirates: the relevant municipality or property-registration authority</w:t>
      </w:r>
    </w:p>
    <w:p w:rsidR="00D14C06" w:rsidRPr="00B243BE" w:rsidRDefault="00D14C06" w:rsidP="00D14C06">
      <w:pPr>
        <w:rPr>
          <w:rFonts w:ascii="Arial Black" w:hAnsi="Arial Black"/>
          <w:sz w:val="48"/>
          <w:szCs w:val="48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UAE Government confirms that tenancy contracts must be registered with the appropriate authority in the Emirate where the property is situated. 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Expert advice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how to get it, reach us on: 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A7F">
        <w:rPr>
          <w:rFonts w:ascii="Arial Black" w:hAnsi="Arial Black"/>
          <w:sz w:val="24"/>
          <w:szCs w:val="24"/>
        </w:rPr>
        <w:t>CALL TO ACTION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Who needs </w:t>
      </w:r>
      <w:proofErr w:type="spellStart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Residential tenants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 person renting an apartment, villa or other residential property in Dubai generally needs an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certificate for the tenancy.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It may be used for:</w:t>
      </w:r>
    </w:p>
    <w:p w:rsidR="00D14C06" w:rsidRPr="00D14C06" w:rsidRDefault="00D14C06" w:rsidP="00D14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Activating electricity and water</w:t>
      </w:r>
    </w:p>
    <w:p w:rsidR="00D14C06" w:rsidRPr="00D14C06" w:rsidRDefault="00D14C06" w:rsidP="00D14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Family residence applications</w:t>
      </w:r>
    </w:p>
    <w:p w:rsidR="00D14C06" w:rsidRPr="00D14C06" w:rsidRDefault="00D14C06" w:rsidP="00D14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School or administrative address requirements</w:t>
      </w:r>
    </w:p>
    <w:p w:rsidR="00D14C06" w:rsidRPr="00D14C06" w:rsidRDefault="00D14C06" w:rsidP="00D14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Rental disputes</w:t>
      </w:r>
    </w:p>
    <w:p w:rsidR="00D14C06" w:rsidRPr="00D14C06" w:rsidRDefault="00D14C06" w:rsidP="00D14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Proof of residential address</w:t>
      </w:r>
    </w:p>
    <w:p w:rsidR="00D14C06" w:rsidRPr="00D14C06" w:rsidRDefault="00D14C06" w:rsidP="00D14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Renewing or updating certain government records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exact documents required by immigration or another authority may change according to the application.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Commercial tenants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Companies renting an office, shop, warehouse, studio or commercial facility generally need a commercial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registration.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 commercial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may be required to:</w:t>
      </w:r>
    </w:p>
    <w:p w:rsidR="00D14C06" w:rsidRPr="00D14C06" w:rsidRDefault="00D14C06" w:rsidP="00D14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Obtain or renew a mainland trade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</w:p>
    <w:p w:rsidR="00D14C06" w:rsidRPr="00D14C06" w:rsidRDefault="00D14C06" w:rsidP="00D14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Demonstrate that the company has approved premises</w:t>
      </w:r>
    </w:p>
    <w:p w:rsidR="00D14C06" w:rsidRPr="00D14C06" w:rsidRDefault="00D14C06" w:rsidP="00D14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Complete external regulatory approvals</w:t>
      </w:r>
    </w:p>
    <w:p w:rsidR="00D14C06" w:rsidRPr="00D14C06" w:rsidRDefault="00D14C06" w:rsidP="00D14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Open or maintain certain corporate service accounts</w:t>
      </w:r>
    </w:p>
    <w:p w:rsidR="00D14C06" w:rsidRPr="00D14C06" w:rsidRDefault="00D14C06" w:rsidP="00D14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Establish immigration and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records</w:t>
      </w:r>
    </w:p>
    <w:p w:rsidR="00D14C06" w:rsidRPr="00D14C06" w:rsidRDefault="00D14C06" w:rsidP="00D14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Apply for employee visa capacity</w:t>
      </w:r>
    </w:p>
    <w:p w:rsidR="00D14C06" w:rsidRPr="00D14C06" w:rsidRDefault="00D14C06" w:rsidP="00D14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Provide proof of the company’s operational address</w:t>
      </w:r>
    </w:p>
    <w:p w:rsidR="00D14C06" w:rsidRPr="00D14C06" w:rsidRDefault="00D14C06" w:rsidP="00D14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Resolve a commercial tenancy dispute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The tenancy and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do not automatically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authorise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every business activity. The premises must also be suitable and approved for the company’s licensed activity.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For example, leasing an ordinary office does not automatically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authorise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4C06" w:rsidRPr="00D14C06" w:rsidRDefault="00D14C06" w:rsidP="00D14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Warehousing</w:t>
      </w:r>
    </w:p>
    <w:p w:rsidR="00D14C06" w:rsidRPr="00D14C06" w:rsidRDefault="00D14C06" w:rsidP="00D14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lastRenderedPageBreak/>
        <w:t>Food preparation</w:t>
      </w:r>
    </w:p>
    <w:p w:rsidR="00D14C06" w:rsidRPr="00D14C06" w:rsidRDefault="00D14C06" w:rsidP="00D14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 medical clinic</w:t>
      </w:r>
    </w:p>
    <w:p w:rsidR="00D14C06" w:rsidRPr="00D14C06" w:rsidRDefault="00D14C06" w:rsidP="00D14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Industrial production</w:t>
      </w:r>
    </w:p>
    <w:p w:rsidR="00D14C06" w:rsidRPr="00D14C06" w:rsidRDefault="00D14C06" w:rsidP="00D14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Vehicle storage</w:t>
      </w:r>
    </w:p>
    <w:p w:rsidR="00D14C06" w:rsidRPr="00D14C06" w:rsidRDefault="00D14C06" w:rsidP="00D14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Public events</w:t>
      </w:r>
    </w:p>
    <w:p w:rsidR="00D14C06" w:rsidRPr="00D14C06" w:rsidRDefault="00D14C06" w:rsidP="00D14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 delivery fulfilment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Separate planning, civil-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>, municipality, transport or sector approvals may be required.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Landlords and property managers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Property owners and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property-management companies use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to register, renew and cancel their tenancy contracts.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Property-management companies with the relevant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may receive system access to process registrations on behalf of landlords and tenants.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</w:t>
      </w:r>
      <w:proofErr w:type="spellStart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applies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1. A valid tenancy is agreed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landlord and tenant sign a tenancy agreement identifying:</w:t>
      </w:r>
    </w:p>
    <w:p w:rsidR="00D14C06" w:rsidRPr="00D14C06" w:rsidRDefault="00D14C06" w:rsidP="00D14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parties</w:t>
      </w:r>
    </w:p>
    <w:p w:rsidR="00D14C06" w:rsidRPr="00D14C06" w:rsidRDefault="00D14C06" w:rsidP="00D14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property</w:t>
      </w:r>
    </w:p>
    <w:p w:rsidR="00D14C06" w:rsidRPr="00D14C06" w:rsidRDefault="00D14C06" w:rsidP="00D14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Rent</w:t>
      </w:r>
    </w:p>
    <w:p w:rsidR="00D14C06" w:rsidRPr="00D14C06" w:rsidRDefault="00D14C06" w:rsidP="00D14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Payment terms</w:t>
      </w:r>
    </w:p>
    <w:p w:rsidR="00D14C06" w:rsidRPr="00D14C06" w:rsidRDefault="00D14C06" w:rsidP="00D14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Security deposit</w:t>
      </w:r>
    </w:p>
    <w:p w:rsidR="00D14C06" w:rsidRPr="00D14C06" w:rsidRDefault="00D14C06" w:rsidP="00D14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Lease period</w:t>
      </w:r>
    </w:p>
    <w:p w:rsidR="00D14C06" w:rsidRPr="00D14C06" w:rsidRDefault="00D14C06" w:rsidP="00D14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Permitted use</w:t>
      </w:r>
    </w:p>
    <w:p w:rsidR="00D14C06" w:rsidRPr="00D14C06" w:rsidRDefault="00D14C06" w:rsidP="00D14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Maintenance responsibilities</w:t>
      </w:r>
    </w:p>
    <w:p w:rsidR="00D14C06" w:rsidRPr="00D14C06" w:rsidRDefault="00D14C06" w:rsidP="00D14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Renewal and termination provisions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The Dubai Land Department provides a </w:t>
      </w:r>
      <w:hyperlink r:id="rId5" w:history="1">
        <w:r w:rsidRPr="00D14C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Unified </w:t>
        </w:r>
        <w:proofErr w:type="spellStart"/>
        <w:r w:rsidRPr="00D14C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Ejari</w:t>
        </w:r>
        <w:proofErr w:type="spellEnd"/>
        <w:r w:rsidRPr="00D14C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Tenancy Contract template</w:t>
        </w:r>
      </w:hyperlink>
      <w:r w:rsidRPr="00D14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Parties may add supplementary terms, but those terms must not conflict with mandatory Dubai rental law.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2. The contract is registered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Registration may be completed through:</w:t>
      </w:r>
    </w:p>
    <w:p w:rsidR="00D14C06" w:rsidRPr="00D14C06" w:rsidRDefault="00D14C06" w:rsidP="00D14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Dubai REST application</w:t>
      </w:r>
    </w:p>
    <w:p w:rsidR="00D14C06" w:rsidRPr="00D14C06" w:rsidRDefault="00D14C06" w:rsidP="00D14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online system</w:t>
      </w:r>
    </w:p>
    <w:p w:rsidR="00D14C06" w:rsidRPr="00D14C06" w:rsidRDefault="00D14C06" w:rsidP="00D14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property-management company</w:t>
      </w:r>
    </w:p>
    <w:p w:rsidR="00D14C06" w:rsidRPr="00D14C06" w:rsidRDefault="00D14C06" w:rsidP="00D14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lastRenderedPageBreak/>
        <w:t>A Real Estate Services Trustee Centre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The available channel depends on whether the landlord and tenant are individuals, companies or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representatives.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3. Documents are submitted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According to the Dubai Land Department, registration through the application generally requires a copy of the Unified Tenancy Contract.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At a Real Estate Services Trustee Centre, the principal documents include:</w:t>
      </w:r>
    </w:p>
    <w:p w:rsidR="00D14C06" w:rsidRPr="00D14C06" w:rsidRDefault="00D14C06" w:rsidP="00D14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Original Unified Tenancy Contract</w:t>
      </w:r>
    </w:p>
    <w:p w:rsidR="00D14C06" w:rsidRPr="00D14C06" w:rsidRDefault="00D14C06" w:rsidP="00D14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Applicant’s Emirates ID</w:t>
      </w:r>
    </w:p>
    <w:p w:rsidR="00D14C06" w:rsidRPr="00D14C06" w:rsidRDefault="00D14C06" w:rsidP="00D14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Official power of attorney where a representative applies</w:t>
      </w:r>
    </w:p>
    <w:p w:rsidR="00D14C06" w:rsidRPr="00B243BE" w:rsidRDefault="00D14C06" w:rsidP="00D14C06">
      <w:pPr>
        <w:rPr>
          <w:rFonts w:ascii="Arial Black" w:hAnsi="Arial Black"/>
          <w:sz w:val="48"/>
          <w:szCs w:val="48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Additional supporting documents may be requested depending on the applicant, property and transaction. 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Expert advice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how to get it, reach us on: 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A7F">
        <w:rPr>
          <w:rFonts w:ascii="Arial Black" w:hAnsi="Arial Black"/>
          <w:sz w:val="24"/>
          <w:szCs w:val="24"/>
        </w:rPr>
        <w:t>CALL TO ACTION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It is sensible to keep the following available:</w:t>
      </w:r>
    </w:p>
    <w:p w:rsidR="00D14C06" w:rsidRPr="00D14C06" w:rsidRDefault="00D14C06" w:rsidP="00D14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Tenant’s passport and residence visa</w:t>
      </w:r>
    </w:p>
    <w:p w:rsidR="00D14C06" w:rsidRPr="00D14C06" w:rsidRDefault="00D14C06" w:rsidP="00D14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Landlord’s identification</w:t>
      </w:r>
    </w:p>
    <w:p w:rsidR="00D14C06" w:rsidRPr="00D14C06" w:rsidRDefault="00D14C06" w:rsidP="00D14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Title deed or property details</w:t>
      </w:r>
    </w:p>
    <w:p w:rsidR="00D14C06" w:rsidRPr="00D14C06" w:rsidRDefault="00D14C06" w:rsidP="00D14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DEWA premise number</w:t>
      </w:r>
    </w:p>
    <w:p w:rsidR="00D14C06" w:rsidRPr="00D14C06" w:rsidRDefault="00D14C06" w:rsidP="00D14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Commercial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>, for a company tenant</w:t>
      </w:r>
    </w:p>
    <w:p w:rsidR="00D14C06" w:rsidRPr="00D14C06" w:rsidRDefault="00D14C06" w:rsidP="00D14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Authority letter or power of attorney</w:t>
      </w:r>
    </w:p>
    <w:p w:rsidR="00D14C06" w:rsidRPr="00D14C06" w:rsidRDefault="00D14C06" w:rsidP="00D14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Property-management agreement, where applicable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4. The information is verified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application is checked against the property and ownership records. Missing or inconsistent information may delay or prevent registration.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The </w:t>
      </w:r>
      <w:proofErr w:type="spellStart"/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certificate is issued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Once approved, the applicant receives an electronic contract-registration certificate. The certificate should be stored with:</w:t>
      </w:r>
    </w:p>
    <w:p w:rsidR="00D14C06" w:rsidRPr="00D14C06" w:rsidRDefault="00D14C06" w:rsidP="00D14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signed tenancy agreement</w:t>
      </w:r>
    </w:p>
    <w:p w:rsidR="00D14C06" w:rsidRPr="00D14C06" w:rsidRDefault="00D14C06" w:rsidP="00D14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Payment receipts or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records</w:t>
      </w:r>
    </w:p>
    <w:p w:rsidR="00D14C06" w:rsidRPr="00D14C06" w:rsidRDefault="00D14C06" w:rsidP="00D14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Security-deposit receipt</w:t>
      </w:r>
    </w:p>
    <w:p w:rsidR="00D14C06" w:rsidRPr="00D14C06" w:rsidRDefault="00D14C06" w:rsidP="00D14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Condition report</w:t>
      </w:r>
    </w:p>
    <w:p w:rsidR="00D14C06" w:rsidRPr="00D14C06" w:rsidRDefault="00D14C06" w:rsidP="00D14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Handover documents</w:t>
      </w:r>
    </w:p>
    <w:p w:rsidR="00D14C06" w:rsidRPr="00D14C06" w:rsidRDefault="00D14C06" w:rsidP="00D14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Correspondence with the landlord</w:t>
      </w:r>
    </w:p>
    <w:p w:rsidR="00D14C06" w:rsidRPr="00D14C06" w:rsidRDefault="00D14C06" w:rsidP="00D14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lastRenderedPageBreak/>
        <w:t>Renewal or termination notices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registration costs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Fees and service arrangements can change, so confirm them on the </w:t>
      </w:r>
      <w:hyperlink r:id="rId6" w:history="1">
        <w:r w:rsidRPr="00D14C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official DLD service page</w:t>
        </w:r>
      </w:hyperlink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before applying.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Any private administration, agency or document-preparation charges are separate from the official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fee and should be disclosed in advance.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renewal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registration generally corresponds with the period of the tenancy agreement. When the lease is renewed, the renewal contract should also be registered.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Before renewal, confirm:</w:t>
      </w:r>
    </w:p>
    <w:p w:rsidR="00D14C06" w:rsidRPr="00D14C06" w:rsidRDefault="00D14C06" w:rsidP="00D14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new rental amount</w:t>
      </w:r>
    </w:p>
    <w:p w:rsidR="00D14C06" w:rsidRPr="00D14C06" w:rsidRDefault="00D14C06" w:rsidP="00D14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Lease commencement and expiry dates</w:t>
      </w:r>
    </w:p>
    <w:p w:rsidR="00D14C06" w:rsidRPr="00D14C06" w:rsidRDefault="00D14C06" w:rsidP="00D14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Number and dates of rent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cheques</w:t>
      </w:r>
      <w:proofErr w:type="spellEnd"/>
    </w:p>
    <w:p w:rsidR="00D14C06" w:rsidRPr="00D14C06" w:rsidRDefault="00D14C06" w:rsidP="00D14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Maintenance responsibilities</w:t>
      </w:r>
    </w:p>
    <w:p w:rsidR="00D14C06" w:rsidRPr="00D14C06" w:rsidRDefault="00D14C06" w:rsidP="00D14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Parking allocations</w:t>
      </w:r>
    </w:p>
    <w:p w:rsidR="00D14C06" w:rsidRPr="00D14C06" w:rsidRDefault="00D14C06" w:rsidP="00D14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Permitted use</w:t>
      </w:r>
    </w:p>
    <w:p w:rsidR="00D14C06" w:rsidRPr="00D14C06" w:rsidRDefault="00D14C06" w:rsidP="00D14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Any additional terms</w:t>
      </w:r>
    </w:p>
    <w:p w:rsidR="00D14C06" w:rsidRPr="00D14C06" w:rsidRDefault="00D14C06" w:rsidP="00D14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Whether the landlord has given a legally valid rent-increase notice</w:t>
      </w:r>
    </w:p>
    <w:p w:rsidR="00D14C06" w:rsidRPr="00D14C06" w:rsidRDefault="00D14C06" w:rsidP="00D14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Whether the previous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remains correctly recorded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For a company, the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period should be coordinated with the trade-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and other approval cycles where possible.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cancellation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should be cancelled or properly closed when:</w:t>
      </w:r>
    </w:p>
    <w:p w:rsidR="00D14C06" w:rsidRPr="00D14C06" w:rsidRDefault="00D14C06" w:rsidP="00D14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tenant permanently vacates</w:t>
      </w:r>
    </w:p>
    <w:p w:rsidR="00D14C06" w:rsidRPr="00D14C06" w:rsidRDefault="00D14C06" w:rsidP="00D14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lease is terminated early</w:t>
      </w:r>
    </w:p>
    <w:p w:rsidR="00D14C06" w:rsidRPr="00D14C06" w:rsidRDefault="00D14C06" w:rsidP="00D14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tenancy expires and will not be renewed</w:t>
      </w:r>
    </w:p>
    <w:p w:rsidR="00D14C06" w:rsidRPr="00D14C06" w:rsidRDefault="00D14C06" w:rsidP="00D14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parties replace the existing tenancy with a new arrangement</w:t>
      </w:r>
    </w:p>
    <w:p w:rsidR="00D14C06" w:rsidRPr="00D14C06" w:rsidRDefault="00D14C06" w:rsidP="00D14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premises are transferred to another tenant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The DLD provides online and Trustee Centre cancellation channels. Online cancellation is currently listed as free, while cancellation through a Trustee Centre attracts a service-partner fee. </w:t>
      </w:r>
      <w:hyperlink r:id="rId7" w:history="1">
        <w:r w:rsidRPr="00D14C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DLD </w:t>
        </w:r>
        <w:proofErr w:type="spellStart"/>
        <w:r w:rsidRPr="00D14C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Ejari</w:t>
        </w:r>
        <w:proofErr w:type="spellEnd"/>
        <w:r w:rsidRPr="00D14C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cancellation service</w:t>
        </w:r>
      </w:hyperlink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If the contract is still active, the landlord’s cancellation letter may be required.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lastRenderedPageBreak/>
        <w:t>The tenant should retain:</w:t>
      </w:r>
    </w:p>
    <w:p w:rsidR="00D14C06" w:rsidRPr="00D14C06" w:rsidRDefault="00D14C06" w:rsidP="00D14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Signed termination agreement</w:t>
      </w:r>
    </w:p>
    <w:p w:rsidR="00D14C06" w:rsidRPr="00D14C06" w:rsidRDefault="00D14C06" w:rsidP="00D14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Landlord’s clearance</w:t>
      </w:r>
    </w:p>
    <w:p w:rsidR="00D14C06" w:rsidRPr="00D14C06" w:rsidRDefault="00D14C06" w:rsidP="00D14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Key-handover receipt</w:t>
      </w:r>
    </w:p>
    <w:p w:rsidR="00D14C06" w:rsidRPr="00D14C06" w:rsidRDefault="00D14C06" w:rsidP="00D14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Final DEWA bill</w:t>
      </w:r>
    </w:p>
    <w:p w:rsidR="00D14C06" w:rsidRPr="00D14C06" w:rsidRDefault="00D14C06" w:rsidP="00D14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Evidence of settlement of rent</w:t>
      </w:r>
    </w:p>
    <w:p w:rsidR="00D14C06" w:rsidRPr="00D14C06" w:rsidRDefault="00D14C06" w:rsidP="00D14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Security-deposit settlement</w:t>
      </w:r>
    </w:p>
    <w:p w:rsidR="00D14C06" w:rsidRPr="00D14C06" w:rsidRDefault="00D14C06" w:rsidP="00D14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cancellation confirmation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Simply moving out without documenting handover and cancellation can create disputes about continued occupation, rent or liabilities.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Main merits of </w:t>
      </w:r>
      <w:proofErr w:type="spellStart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Ejari</w:t>
      </w:r>
      <w:proofErr w:type="spellEnd"/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1. It creates an official tenancy record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replaces an entirely private rental arrangement with an identifiable government record. This helps demonstrate that:</w:t>
      </w:r>
    </w:p>
    <w:p w:rsidR="00D14C06" w:rsidRPr="00D14C06" w:rsidRDefault="00D14C06" w:rsidP="00D14C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property exists in the official system</w:t>
      </w:r>
    </w:p>
    <w:p w:rsidR="00D14C06" w:rsidRPr="00D14C06" w:rsidRDefault="00D14C06" w:rsidP="00D14C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named landlord or representative has registered the tenancy</w:t>
      </w:r>
    </w:p>
    <w:p w:rsidR="00D14C06" w:rsidRPr="00D14C06" w:rsidRDefault="00D14C06" w:rsidP="00D14C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tenant is connected to the property</w:t>
      </w:r>
    </w:p>
    <w:p w:rsidR="00D14C06" w:rsidRPr="00D14C06" w:rsidRDefault="00D14C06" w:rsidP="00D14C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rent and contractual period have been recorded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2. It protects both landlord and tenant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official record reduces uncertainty about important tenancy details.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For the tenant, it helps establish:</w:t>
      </w:r>
    </w:p>
    <w:p w:rsidR="00D14C06" w:rsidRPr="00D14C06" w:rsidRDefault="00D14C06" w:rsidP="00D14C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Right of occupation</w:t>
      </w:r>
    </w:p>
    <w:p w:rsidR="00D14C06" w:rsidRPr="00D14C06" w:rsidRDefault="00D14C06" w:rsidP="00D14C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Agreed rent</w:t>
      </w:r>
    </w:p>
    <w:p w:rsidR="00D14C06" w:rsidRPr="00D14C06" w:rsidRDefault="00D14C06" w:rsidP="00D14C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Lease duration</w:t>
      </w:r>
    </w:p>
    <w:p w:rsidR="00D14C06" w:rsidRPr="00D14C06" w:rsidRDefault="00D14C06" w:rsidP="00D14C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Identity of the landlord</w:t>
      </w:r>
    </w:p>
    <w:p w:rsidR="00D14C06" w:rsidRPr="00D14C06" w:rsidRDefault="00D14C06" w:rsidP="00D14C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Property details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For the landlord, it helps establish:</w:t>
      </w:r>
    </w:p>
    <w:p w:rsidR="00D14C06" w:rsidRPr="00D14C06" w:rsidRDefault="00D14C06" w:rsidP="00D14C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Identity of the tenant</w:t>
      </w:r>
    </w:p>
    <w:p w:rsidR="00D14C06" w:rsidRPr="00D14C06" w:rsidRDefault="00D14C06" w:rsidP="00D14C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Agreed rental obligations</w:t>
      </w:r>
    </w:p>
    <w:p w:rsidR="00D14C06" w:rsidRPr="00D14C06" w:rsidRDefault="00D14C06" w:rsidP="00D14C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Contractual period</w:t>
      </w:r>
    </w:p>
    <w:p w:rsidR="00D14C06" w:rsidRPr="00D14C06" w:rsidRDefault="00D14C06" w:rsidP="00D14C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Permitted occupation</w:t>
      </w:r>
    </w:p>
    <w:p w:rsidR="00D14C06" w:rsidRPr="00D14C06" w:rsidRDefault="00D14C06" w:rsidP="00D14C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Official evidence of the letting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It supports rental-dispute proceedings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If a disagreement reaches the Rental Disputes Center, the registered tenancy record is important evidence of the relationship between the parties.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does not guarantee that either party will win a case, but it makes it easier to establish the basic contractual facts.</w:t>
      </w:r>
    </w:p>
    <w:p w:rsidR="009D4F99" w:rsidRPr="00B243BE" w:rsidRDefault="00D14C06" w:rsidP="009D4F99">
      <w:pPr>
        <w:rPr>
          <w:rFonts w:ascii="Arial Black" w:hAnsi="Arial Black"/>
          <w:sz w:val="48"/>
          <w:szCs w:val="48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Rental-contract disputes in Dubai are handled through the Rental Disputes Center rather than as ordinary complaints against real-estate companies. </w:t>
      </w:r>
      <w:hyperlink r:id="rId8" w:history="1">
        <w:r w:rsidRPr="00D14C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Dubai Land Department guidance</w:t>
        </w:r>
      </w:hyperlink>
      <w:r w:rsidR="009D4F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D4F99" w:rsidRPr="00C021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9D4F99">
        <w:rPr>
          <w:rFonts w:ascii="Times New Roman" w:eastAsia="Times New Roman" w:hAnsi="Times New Roman" w:cs="Times New Roman"/>
          <w:sz w:val="24"/>
          <w:szCs w:val="24"/>
        </w:rPr>
        <w:t>Expert advice</w:t>
      </w:r>
      <w:r w:rsidR="009D4F99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="009D4F99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="009D4F99">
        <w:rPr>
          <w:rFonts w:ascii="Times New Roman" w:eastAsia="Times New Roman" w:hAnsi="Times New Roman" w:cs="Times New Roman"/>
          <w:sz w:val="24"/>
          <w:szCs w:val="24"/>
        </w:rPr>
        <w:t xml:space="preserve"> and related services</w:t>
      </w:r>
      <w:r w:rsidR="009D4F99">
        <w:rPr>
          <w:rFonts w:ascii="Times New Roman" w:eastAsia="Times New Roman" w:hAnsi="Times New Roman" w:cs="Times New Roman"/>
          <w:sz w:val="24"/>
          <w:szCs w:val="24"/>
        </w:rPr>
        <w:t xml:space="preserve">, reach us on: </w:t>
      </w:r>
      <w:r w:rsidR="009D4F99"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4F99" w:rsidRPr="004F0A7F">
        <w:rPr>
          <w:rFonts w:ascii="Arial Black" w:hAnsi="Arial Black"/>
          <w:sz w:val="24"/>
          <w:szCs w:val="24"/>
        </w:rPr>
        <w:t>CALL TO ACTION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4. It enables DEWA activation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is integrated with Dubai Electricity and Water Authority systems. Once the tenancy is registered, the information can support electricity and water activation or transfer.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DEWA confirms that its systems are digitally integrated with the Dubai Land Department following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issuance. </w:t>
      </w:r>
      <w:hyperlink r:id="rId9" w:history="1">
        <w:r w:rsidRPr="00D14C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DEWA move-in service</w:t>
        </w:r>
      </w:hyperlink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5. It supports business licensing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For a mainland company, a commercial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is commonly used as evidence of the company’s physical business premises.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This helps the licensing authority confirm:</w:t>
      </w:r>
    </w:p>
    <w:p w:rsidR="00D14C06" w:rsidRPr="00D14C06" w:rsidRDefault="00D14C06" w:rsidP="00D14C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Where the company operates</w:t>
      </w:r>
    </w:p>
    <w:p w:rsidR="00D14C06" w:rsidRPr="00D14C06" w:rsidRDefault="00D14C06" w:rsidP="00D14C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Whether the premises are commercial</w:t>
      </w:r>
    </w:p>
    <w:p w:rsidR="00D14C06" w:rsidRPr="00D14C06" w:rsidRDefault="00D14C06" w:rsidP="00D14C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Whether the premises are appropriate for the activity</w:t>
      </w:r>
    </w:p>
    <w:p w:rsidR="00D14C06" w:rsidRPr="00D14C06" w:rsidRDefault="00D14C06" w:rsidP="00D14C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Whether another business already occupies the space</w:t>
      </w:r>
    </w:p>
    <w:p w:rsidR="00D14C06" w:rsidRPr="00D14C06" w:rsidRDefault="00D14C06" w:rsidP="00D14C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Whether the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and property information correspond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 free-zone company using a flexi-desk or free-zone facility may receive a different occupancy document rather than a conventional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>, depending on the free zone and premises.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6. It supports immigration and administrative applications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A registered tenancy may be requested as proof of accommodation or address for certain residence, family-sponsorship,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>, banking or administrative procedures.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is not itself a visa, immigration approval or proof of income. It is supporting evidence of a registered Dubai tenancy.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It improves transparency in the rental market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Registered tenancy information assists the authorities in:</w:t>
      </w:r>
    </w:p>
    <w:p w:rsidR="00D14C06" w:rsidRPr="00D14C06" w:rsidRDefault="00D14C06" w:rsidP="00D14C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Monitoring rental activity</w:t>
      </w:r>
    </w:p>
    <w:p w:rsidR="00D14C06" w:rsidRPr="00D14C06" w:rsidRDefault="00D14C06" w:rsidP="00D14C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Maintaining rental data</w:t>
      </w:r>
    </w:p>
    <w:p w:rsidR="00D14C06" w:rsidRPr="00D14C06" w:rsidRDefault="00D14C06" w:rsidP="00D14C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Identifying property use</w:t>
      </w:r>
    </w:p>
    <w:p w:rsidR="00D14C06" w:rsidRPr="00D14C06" w:rsidRDefault="00D14C06" w:rsidP="00D14C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Supporting rental-index administration</w:t>
      </w:r>
    </w:p>
    <w:p w:rsidR="00D14C06" w:rsidRPr="00D14C06" w:rsidRDefault="00D14C06" w:rsidP="00D14C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Reducing informal and conflicting rental arrangements</w:t>
      </w:r>
    </w:p>
    <w:p w:rsidR="00D14C06" w:rsidRPr="00D14C06" w:rsidRDefault="00D14C06" w:rsidP="00D14C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Planning property and public services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C06">
        <w:rPr>
          <w:rFonts w:ascii="Times New Roman" w:eastAsia="Times New Roman" w:hAnsi="Times New Roman" w:cs="Times New Roman"/>
          <w:b/>
          <w:bCs/>
          <w:sz w:val="27"/>
          <w:szCs w:val="27"/>
        </w:rPr>
        <w:t>8. It facilitates digital government services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data can be exchanged with connected government systems, reducing the need to repeatedly submit and manually verify the same tenancy information.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Limitations of </w:t>
      </w:r>
      <w:proofErr w:type="spellStart"/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Ejari</w:t>
      </w:r>
      <w:proofErr w:type="spellEnd"/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provides important protection, but it does not do everything.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It does not automatically:</w:t>
      </w:r>
    </w:p>
    <w:p w:rsidR="00D14C06" w:rsidRPr="00D14C06" w:rsidRDefault="00D14C06" w:rsidP="00D14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Prove ownership of the property by the tenant</w:t>
      </w:r>
    </w:p>
    <w:p w:rsidR="00D14C06" w:rsidRPr="00D14C06" w:rsidRDefault="00D14C06" w:rsidP="00D14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Guarantee that every contractual term is legally enforceable</w:t>
      </w:r>
    </w:p>
    <w:p w:rsidR="00D14C06" w:rsidRPr="00D14C06" w:rsidRDefault="00D14C06" w:rsidP="00D14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Make an unsuitable property lawful for a regulated business</w:t>
      </w:r>
    </w:p>
    <w:p w:rsidR="00D14C06" w:rsidRPr="00D14C06" w:rsidRDefault="00D14C06" w:rsidP="00D14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Replace a trade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</w:p>
    <w:p w:rsidR="00D14C06" w:rsidRPr="00D14C06" w:rsidRDefault="00D14C06" w:rsidP="00D14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Replace municipality, Civil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regulator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approval</w:t>
      </w:r>
    </w:p>
    <w:p w:rsidR="00D14C06" w:rsidRPr="00D14C06" w:rsidRDefault="00D14C06" w:rsidP="00D14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Authorise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an illegal sublease</w:t>
      </w:r>
    </w:p>
    <w:p w:rsidR="00D14C06" w:rsidRPr="00D14C06" w:rsidRDefault="00D14C06" w:rsidP="00D14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Guarantee repayment of the security deposit</w:t>
      </w:r>
    </w:p>
    <w:p w:rsidR="00D14C06" w:rsidRPr="00D14C06" w:rsidRDefault="00D14C06" w:rsidP="00D14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Prevent every landlord-and-tenant dispute</w:t>
      </w:r>
    </w:p>
    <w:p w:rsidR="00D14C06" w:rsidRPr="00D14C06" w:rsidRDefault="00D14C06" w:rsidP="00D14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Confirm that the property is suitable for employee visa allocation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Registration records the tenancy; it does not cure unlawful provisions or missing regulatory approvals.</w:t>
      </w:r>
    </w:p>
    <w:p w:rsidR="00D14C06" w:rsidRPr="00D14C06" w:rsidRDefault="00D14C06" w:rsidP="00D1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4C06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checks before signing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Before paying the rent or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fee, the tenant should verify: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landlord’s identity and authority.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property title or official ownership information.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The exact unit, plot and DEWA premise numbers.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use of the property.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All rent, deposit and commission charges.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Maintenance and repair responsibilities.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lastRenderedPageBreak/>
        <w:t>Parking and access rights.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Renewal and termination provisions.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Any rent-free period.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>Whether subletting or shared occupation is permitted.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Who will register and pay for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4C06" w:rsidRPr="00D14C06" w:rsidRDefault="00D14C06" w:rsidP="00D14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Whether the premises support the intended trade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regulator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approvals.</w:t>
      </w:r>
    </w:p>
    <w:p w:rsidR="009D4F99" w:rsidRPr="00B243BE" w:rsidRDefault="00D14C06" w:rsidP="009D4F99">
      <w:pPr>
        <w:rPr>
          <w:rFonts w:ascii="Arial Black" w:hAnsi="Arial Black"/>
          <w:sz w:val="48"/>
          <w:szCs w:val="48"/>
        </w:rPr>
      </w:pPr>
      <w:proofErr w:type="spellStart"/>
      <w:r w:rsidRPr="00D14C06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Pr="00D14C06">
        <w:rPr>
          <w:rFonts w:ascii="Times New Roman" w:eastAsia="Times New Roman" w:hAnsi="Times New Roman" w:cs="Times New Roman"/>
          <w:sz w:val="24"/>
          <w:szCs w:val="24"/>
        </w:rPr>
        <w:t xml:space="preserve"> should be obtained only after confirming that the lease, unit and licensed activity are properly aligned.</w:t>
      </w:r>
      <w:r w:rsidR="009D4F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4F99" w:rsidRPr="00C021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9D4F99">
        <w:rPr>
          <w:rFonts w:ascii="Times New Roman" w:eastAsia="Times New Roman" w:hAnsi="Times New Roman" w:cs="Times New Roman"/>
          <w:sz w:val="24"/>
          <w:szCs w:val="24"/>
        </w:rPr>
        <w:t xml:space="preserve">Expert advice on </w:t>
      </w:r>
      <w:proofErr w:type="spellStart"/>
      <w:r w:rsidR="009D4F99">
        <w:rPr>
          <w:rFonts w:ascii="Times New Roman" w:eastAsia="Times New Roman" w:hAnsi="Times New Roman" w:cs="Times New Roman"/>
          <w:sz w:val="24"/>
          <w:szCs w:val="24"/>
        </w:rPr>
        <w:t>Ejari</w:t>
      </w:r>
      <w:proofErr w:type="spellEnd"/>
      <w:r w:rsidR="009D4F99">
        <w:rPr>
          <w:rFonts w:ascii="Times New Roman" w:eastAsia="Times New Roman" w:hAnsi="Times New Roman" w:cs="Times New Roman"/>
          <w:sz w:val="24"/>
          <w:szCs w:val="24"/>
        </w:rPr>
        <w:t xml:space="preserve"> and related services, reach us on: </w:t>
      </w:r>
      <w:r w:rsidR="009D4F99"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4F99" w:rsidRPr="004F0A7F">
        <w:rPr>
          <w:rFonts w:ascii="Arial Black" w:hAnsi="Arial Black"/>
          <w:sz w:val="24"/>
          <w:szCs w:val="24"/>
        </w:rPr>
        <w:t>CALL TO ACTION</w:t>
      </w:r>
    </w:p>
    <w:p w:rsidR="00D14C06" w:rsidRPr="00D14C06" w:rsidRDefault="00D14C06" w:rsidP="00D1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5029" w:rsidRDefault="00845029"/>
    <w:sectPr w:rsidR="00845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33D76"/>
    <w:multiLevelType w:val="multilevel"/>
    <w:tmpl w:val="1ED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15A2"/>
    <w:multiLevelType w:val="multilevel"/>
    <w:tmpl w:val="3D0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2A30"/>
    <w:multiLevelType w:val="multilevel"/>
    <w:tmpl w:val="7770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8157B"/>
    <w:multiLevelType w:val="multilevel"/>
    <w:tmpl w:val="740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0524E"/>
    <w:multiLevelType w:val="multilevel"/>
    <w:tmpl w:val="67F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06E91"/>
    <w:multiLevelType w:val="multilevel"/>
    <w:tmpl w:val="16EA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A1DFF"/>
    <w:multiLevelType w:val="multilevel"/>
    <w:tmpl w:val="E9E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239A0"/>
    <w:multiLevelType w:val="multilevel"/>
    <w:tmpl w:val="B89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E0A66"/>
    <w:multiLevelType w:val="multilevel"/>
    <w:tmpl w:val="4B9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860F3"/>
    <w:multiLevelType w:val="multilevel"/>
    <w:tmpl w:val="17D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232FE"/>
    <w:multiLevelType w:val="multilevel"/>
    <w:tmpl w:val="F15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E3E84"/>
    <w:multiLevelType w:val="hybridMultilevel"/>
    <w:tmpl w:val="2E221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BD7B99"/>
    <w:multiLevelType w:val="multilevel"/>
    <w:tmpl w:val="BC9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D4E44"/>
    <w:multiLevelType w:val="multilevel"/>
    <w:tmpl w:val="86F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947D9"/>
    <w:multiLevelType w:val="multilevel"/>
    <w:tmpl w:val="02BE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4012B"/>
    <w:multiLevelType w:val="multilevel"/>
    <w:tmpl w:val="EE34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757EF"/>
    <w:multiLevelType w:val="multilevel"/>
    <w:tmpl w:val="83D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C25E4"/>
    <w:multiLevelType w:val="multilevel"/>
    <w:tmpl w:val="A89C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C291C"/>
    <w:multiLevelType w:val="multilevel"/>
    <w:tmpl w:val="AB9A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E15B0"/>
    <w:multiLevelType w:val="multilevel"/>
    <w:tmpl w:val="469E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B7104"/>
    <w:multiLevelType w:val="multilevel"/>
    <w:tmpl w:val="C92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32ADD"/>
    <w:multiLevelType w:val="multilevel"/>
    <w:tmpl w:val="44AC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A3260"/>
    <w:multiLevelType w:val="multilevel"/>
    <w:tmpl w:val="7BE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E00C5"/>
    <w:multiLevelType w:val="multilevel"/>
    <w:tmpl w:val="5B8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96B41"/>
    <w:multiLevelType w:val="multilevel"/>
    <w:tmpl w:val="D700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20"/>
  </w:num>
  <w:num w:numId="4">
    <w:abstractNumId w:val="18"/>
  </w:num>
  <w:num w:numId="5">
    <w:abstractNumId w:val="23"/>
  </w:num>
  <w:num w:numId="6">
    <w:abstractNumId w:val="22"/>
  </w:num>
  <w:num w:numId="7">
    <w:abstractNumId w:val="16"/>
  </w:num>
  <w:num w:numId="8">
    <w:abstractNumId w:val="5"/>
  </w:num>
  <w:num w:numId="9">
    <w:abstractNumId w:val="14"/>
  </w:num>
  <w:num w:numId="10">
    <w:abstractNumId w:val="9"/>
  </w:num>
  <w:num w:numId="11">
    <w:abstractNumId w:val="1"/>
  </w:num>
  <w:num w:numId="12">
    <w:abstractNumId w:val="10"/>
  </w:num>
  <w:num w:numId="13">
    <w:abstractNumId w:val="21"/>
  </w:num>
  <w:num w:numId="14">
    <w:abstractNumId w:val="15"/>
  </w:num>
  <w:num w:numId="15">
    <w:abstractNumId w:val="13"/>
  </w:num>
  <w:num w:numId="16">
    <w:abstractNumId w:val="8"/>
  </w:num>
  <w:num w:numId="17">
    <w:abstractNumId w:val="12"/>
  </w:num>
  <w:num w:numId="18">
    <w:abstractNumId w:val="2"/>
  </w:num>
  <w:num w:numId="19">
    <w:abstractNumId w:val="7"/>
  </w:num>
  <w:num w:numId="20">
    <w:abstractNumId w:val="19"/>
  </w:num>
  <w:num w:numId="21">
    <w:abstractNumId w:val="3"/>
  </w:num>
  <w:num w:numId="22">
    <w:abstractNumId w:val="24"/>
  </w:num>
  <w:num w:numId="23">
    <w:abstractNumId w:val="4"/>
  </w:num>
  <w:num w:numId="24">
    <w:abstractNumId w:val="17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C06"/>
    <w:rsid w:val="00845029"/>
    <w:rsid w:val="009D4F99"/>
    <w:rsid w:val="00D1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231A"/>
  <w15:chartTrackingRefBased/>
  <w15:docId w15:val="{A39AFADD-AF46-4F56-B986-7AE1E90C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4C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4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4C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4C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4C0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4C0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14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5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bailand.gov.ae/en/eservices/rvs-violation-complaint-overview/rvs-violation-complai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ubailand.gov.ae/en/eservices/cancel-tenancy-contrac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bailand.gov.ae/en/eservices/register-renew-ejari-contrac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ubailand.gov.ae/en/eservices/ejari-templates/download-unified-ejari-tenancy-contrac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ewa.gov.ae/en/consumer/supply-management/activation-of-electricity-water-move-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1883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2026-08-26T18:32:00Z</dcterms:created>
  <dcterms:modified xsi:type="dcterms:W3CDTF">2026-08-26T18:51:00Z</dcterms:modified>
</cp:coreProperties>
</file>