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What is company compliance</w:t>
      </w:r>
      <w:bookmarkStart w:id="0" w:name="_GoBack"/>
      <w:bookmarkEnd w:id="0"/>
      <w:r w:rsidRPr="00C64E62">
        <w:rPr>
          <w:rFonts w:ascii="Times New Roman" w:eastAsia="Times New Roman" w:hAnsi="Times New Roman" w:cs="Times New Roman"/>
          <w:b/>
          <w:bCs/>
          <w:sz w:val="36"/>
          <w:szCs w:val="36"/>
        </w:rPr>
        <w:t xml:space="preserve"> in the UAE?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b/>
          <w:bCs/>
          <w:sz w:val="24"/>
          <w:szCs w:val="24"/>
        </w:rPr>
        <w:t>Company compliance</w:t>
      </w:r>
      <w:r w:rsidRPr="00C64E62">
        <w:rPr>
          <w:rFonts w:ascii="Times New Roman" w:eastAsia="Times New Roman" w:hAnsi="Times New Roman" w:cs="Times New Roman"/>
          <w:sz w:val="24"/>
          <w:szCs w:val="24"/>
        </w:rPr>
        <w:t xml:space="preserve"> means continuously operating a UAE business in accordance with all applicable laws, </w:t>
      </w:r>
      <w:r w:rsidR="00064EFD" w:rsidRPr="00C64E62">
        <w:rPr>
          <w:rFonts w:ascii="Times New Roman" w:eastAsia="Times New Roman" w:hAnsi="Times New Roman" w:cs="Times New Roman"/>
          <w:sz w:val="24"/>
          <w:szCs w:val="24"/>
        </w:rPr>
        <w:t>license</w:t>
      </w:r>
      <w:r w:rsidRPr="00C64E62">
        <w:rPr>
          <w:rFonts w:ascii="Times New Roman" w:eastAsia="Times New Roman" w:hAnsi="Times New Roman" w:cs="Times New Roman"/>
          <w:sz w:val="24"/>
          <w:szCs w:val="24"/>
        </w:rPr>
        <w:t xml:space="preserve"> conditions, regulatory approvals, tax rules and internal corporate-governance requirements.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It does not end when the trade </w:t>
      </w:r>
      <w:r w:rsidR="00064EFD" w:rsidRPr="00C64E62">
        <w:rPr>
          <w:rFonts w:ascii="Times New Roman" w:eastAsia="Times New Roman" w:hAnsi="Times New Roman" w:cs="Times New Roman"/>
          <w:sz w:val="24"/>
          <w:szCs w:val="24"/>
        </w:rPr>
        <w:t>license</w:t>
      </w:r>
      <w:r w:rsidRPr="00C64E62">
        <w:rPr>
          <w:rFonts w:ascii="Times New Roman" w:eastAsia="Times New Roman" w:hAnsi="Times New Roman" w:cs="Times New Roman"/>
          <w:sz w:val="24"/>
          <w:szCs w:val="24"/>
        </w:rPr>
        <w:t xml:space="preserve"> is issued. Compliance continues throughout the company’s life—from incorporation and daily operations to renewal, restructuring and closure.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exact requirements depend on:</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company’s legal form;</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Mainland or free-zone registration;</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Emirate of registration;</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Licensed activities;</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Number and type of employees;</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Revenue and tax position;</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Nationality and residency of owners;</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Whether the business operates in a regulated sector; and</w:t>
      </w:r>
    </w:p>
    <w:p w:rsidR="00C64E62" w:rsidRPr="00C64E62" w:rsidRDefault="00C64E62" w:rsidP="00C64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Whether it handles customer money, personal data or high-risk transactions.</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Main areas of UAE company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7403"/>
      </w:tblGrid>
      <w:tr w:rsidR="00C64E62" w:rsidRPr="00C64E62" w:rsidTr="00C64E62">
        <w:trPr>
          <w:tblHeade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b/>
                <w:bCs/>
                <w:sz w:val="24"/>
                <w:szCs w:val="24"/>
              </w:rPr>
            </w:pPr>
            <w:r w:rsidRPr="00C64E62">
              <w:rPr>
                <w:rFonts w:ascii="Times New Roman" w:eastAsia="Times New Roman" w:hAnsi="Times New Roman" w:cs="Times New Roman"/>
                <w:b/>
                <w:bCs/>
                <w:sz w:val="24"/>
                <w:szCs w:val="24"/>
              </w:rPr>
              <w:t>Compliance area</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C64E62">
              <w:rPr>
                <w:rFonts w:ascii="Times New Roman" w:eastAsia="Times New Roman" w:hAnsi="Times New Roman" w:cs="Times New Roman"/>
                <w:b/>
                <w:bCs/>
                <w:sz w:val="24"/>
                <w:szCs w:val="24"/>
              </w:rPr>
              <w:t>Typical obligations</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Licensing</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Valid trade license, approved activities, premises and external approvals</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Corporate governance</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Company records, resolutions, ownership and management documentation</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Beneficial ownership</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Identifying and reporting the individuals who ultimately own or control the company</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Tax</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Corporate Tax, VAT, Excise Tax, returns, payments and record-keeping</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Accounting</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Proper books, invoices, financial statements and audits where required</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Employment</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Work permits, employment contracts, wages, leave and end-of-service benefits</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Immigration</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Establishment cards, residence visas and timely cancellation or renewal</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AML</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Customer verification, risk assessments, sanctions checks and suspicious-transaction reporting</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Data protection</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Lawful collection, security and use of personal information</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Consumer protection</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Accurate advertising, pricing, invoices, refunds and service information</w:t>
            </w:r>
          </w:p>
        </w:tc>
      </w:tr>
      <w:tr w:rsidR="00C64E62" w:rsidRPr="00C64E62" w:rsidTr="00C64E62">
        <w:trPr>
          <w:tblCellSpacing w:w="15" w:type="dxa"/>
        </w:trPr>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Sector regulation</w:t>
            </w:r>
          </w:p>
        </w:tc>
        <w:tc>
          <w:tcPr>
            <w:tcW w:w="0" w:type="auto"/>
            <w:vAlign w:val="center"/>
            <w:hideMark/>
          </w:tcPr>
          <w:p w:rsidR="00C64E62" w:rsidRPr="00C64E62" w:rsidRDefault="00C64E62" w:rsidP="00C64E62">
            <w:pPr>
              <w:spacing w:after="0"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Additional requirements for healthcare, finance, transport, tourism, food and other regulated sectors</w:t>
            </w:r>
          </w:p>
        </w:tc>
      </w:tr>
    </w:tbl>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lastRenderedPageBreak/>
        <w:t>1. Trade-license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A company may conduct only the activities stated on its trade license and any activities </w:t>
      </w:r>
      <w:proofErr w:type="spellStart"/>
      <w:r w:rsidRPr="00C64E62">
        <w:rPr>
          <w:rFonts w:ascii="Times New Roman" w:eastAsia="Times New Roman" w:hAnsi="Times New Roman" w:cs="Times New Roman"/>
          <w:sz w:val="24"/>
          <w:szCs w:val="24"/>
        </w:rPr>
        <w:t>authorised</w:t>
      </w:r>
      <w:proofErr w:type="spellEnd"/>
      <w:r w:rsidRPr="00C64E62">
        <w:rPr>
          <w:rFonts w:ascii="Times New Roman" w:eastAsia="Times New Roman" w:hAnsi="Times New Roman" w:cs="Times New Roman"/>
          <w:sz w:val="24"/>
          <w:szCs w:val="24"/>
        </w:rPr>
        <w:t xml:space="preserve"> through external approvals.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It should:</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Renew its license before expiry;</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Maintain the required registered address;</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Keep its tenancy or occupancy document valid;</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Obtain and renew sector-specific permits;</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Display its legal name and license details where required;</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Avoid conducting unlicensed activities;</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Update the licensing authority when its ownership, manager, address or activities change; and</w:t>
      </w:r>
    </w:p>
    <w:p w:rsidR="00C64E62" w:rsidRPr="00C64E62" w:rsidRDefault="00C64E62" w:rsidP="00C64E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Obtain approval before opening additional branches.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A consultancy license, for example, does not automatically </w:t>
      </w:r>
      <w:proofErr w:type="spellStart"/>
      <w:r w:rsidRPr="00C64E62">
        <w:rPr>
          <w:rFonts w:ascii="Times New Roman" w:eastAsia="Times New Roman" w:hAnsi="Times New Roman" w:cs="Times New Roman"/>
          <w:sz w:val="24"/>
          <w:szCs w:val="24"/>
        </w:rPr>
        <w:t>authorise</w:t>
      </w:r>
      <w:proofErr w:type="spellEnd"/>
      <w:r w:rsidRPr="00C64E62">
        <w:rPr>
          <w:rFonts w:ascii="Times New Roman" w:eastAsia="Times New Roman" w:hAnsi="Times New Roman" w:cs="Times New Roman"/>
          <w:sz w:val="24"/>
          <w:szCs w:val="24"/>
        </w:rPr>
        <w:t xml:space="preserve"> legal services, accounting, investment advice, recruitment, real-estate brokerage or immigration representation. Regulated services require the appropriate activity and regulatory approval.</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2. Corporate-governance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 should maintain accurate constitutional and corporate records, including:</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Memorandum or articles of association;</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Shareholder register;</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Manager and director information;</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Powers of attorney;</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Shareholder and board resolutions;</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Share-transfer records;</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Registered-address information;</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Commercial contracts;</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Accounting records; and</w:t>
      </w:r>
    </w:p>
    <w:p w:rsidR="00C64E62" w:rsidRPr="00C64E62" w:rsidRDefault="00C64E62" w:rsidP="00C64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Minutes approving important company decisions.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Companies must ensure that the persons signing contracts, operating bank accounts or representing the business have valid authority.</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The UAE Commercial Companies Law generally requires company accounting records to be retained at the company’s headquarters for at least five years after the relevant financial year. </w:t>
      </w:r>
      <w:hyperlink r:id="rId5" w:history="1">
        <w:r w:rsidRPr="00C64E62">
          <w:rPr>
            <w:rFonts w:ascii="Times New Roman" w:eastAsia="Times New Roman" w:hAnsi="Times New Roman" w:cs="Times New Roman"/>
            <w:color w:val="0000FF"/>
            <w:sz w:val="24"/>
            <w:szCs w:val="24"/>
            <w:u w:val="single"/>
          </w:rPr>
          <w:t>UAE Commercial Companies Law</w:t>
        </w:r>
      </w:hyperlink>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3. Beneficial-owner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A UAE company must generally identify the natural person or persons who ultimately own or control it.</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This is different from merely identifying the shareholder whose name appears on the </w:t>
      </w:r>
      <w:proofErr w:type="spellStart"/>
      <w:r w:rsidRPr="00C64E62">
        <w:rPr>
          <w:rFonts w:ascii="Times New Roman" w:eastAsia="Times New Roman" w:hAnsi="Times New Roman" w:cs="Times New Roman"/>
          <w:sz w:val="24"/>
          <w:szCs w:val="24"/>
        </w:rPr>
        <w:t>licence</w:t>
      </w:r>
      <w:proofErr w:type="spellEnd"/>
      <w:r w:rsidRPr="00C64E62">
        <w:rPr>
          <w:rFonts w:ascii="Times New Roman" w:eastAsia="Times New Roman" w:hAnsi="Times New Roman" w:cs="Times New Roman"/>
          <w:sz w:val="24"/>
          <w:szCs w:val="24"/>
        </w:rPr>
        <w:t>. The beneficial owner may be a person who owns the company indirectly through another business or who exercises ultimate control through another arrangement.</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Companies should:</w:t>
      </w:r>
    </w:p>
    <w:p w:rsidR="00C64E62" w:rsidRPr="00C64E62" w:rsidRDefault="00C64E62" w:rsidP="00C64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Maintain a beneficial-owner register;</w:t>
      </w:r>
    </w:p>
    <w:p w:rsidR="00C64E62" w:rsidRPr="00C64E62" w:rsidRDefault="00C64E62" w:rsidP="00C64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Maintain shareholder or partner information;</w:t>
      </w:r>
    </w:p>
    <w:p w:rsidR="00C64E62" w:rsidRPr="00C64E62" w:rsidRDefault="00C64E62" w:rsidP="00C64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identify nominee directors or shareholders where applicable;</w:t>
      </w:r>
    </w:p>
    <w:p w:rsidR="00C64E62" w:rsidRPr="00C64E62" w:rsidRDefault="00C64E62" w:rsidP="00C64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Submit required information to the registrar;</w:t>
      </w:r>
    </w:p>
    <w:p w:rsidR="00C64E62" w:rsidRPr="00C64E62" w:rsidRDefault="00C64E62" w:rsidP="00C64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Update records when ownership or control changes; and</w:t>
      </w:r>
    </w:p>
    <w:p w:rsidR="00C64E62" w:rsidRPr="00C64E62" w:rsidRDefault="00C64E62" w:rsidP="00C64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Provide accurate information during inspections and regulatory enquiries.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Providing false or incomplete ownership information can lead to administrative penalties and licensing consequences. The applicable framework is established under Cabinet Decision No. 109 of 2023. </w:t>
      </w:r>
      <w:hyperlink r:id="rId6" w:history="1">
        <w:r w:rsidRPr="00C64E62">
          <w:rPr>
            <w:rFonts w:ascii="Times New Roman" w:eastAsia="Times New Roman" w:hAnsi="Times New Roman" w:cs="Times New Roman"/>
            <w:color w:val="0000FF"/>
            <w:sz w:val="24"/>
            <w:szCs w:val="24"/>
            <w:u w:val="single"/>
          </w:rPr>
          <w:t>UAE Ministry of Economy and Tourism</w:t>
        </w:r>
      </w:hyperlink>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4. Corporate Tax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Most UAE companies, including many free-zone entities, must consider Corporate Tax registration and filing obligations.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Compliance may include:</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Registering through </w:t>
      </w:r>
      <w:proofErr w:type="spellStart"/>
      <w:r w:rsidRPr="00C64E62">
        <w:rPr>
          <w:rFonts w:ascii="Times New Roman" w:eastAsia="Times New Roman" w:hAnsi="Times New Roman" w:cs="Times New Roman"/>
          <w:sz w:val="24"/>
          <w:szCs w:val="24"/>
        </w:rPr>
        <w:t>EmaraTax</w:t>
      </w:r>
      <w:proofErr w:type="spellEnd"/>
      <w:r w:rsidRPr="00C64E62">
        <w:rPr>
          <w:rFonts w:ascii="Times New Roman" w:eastAsia="Times New Roman" w:hAnsi="Times New Roman" w:cs="Times New Roman"/>
          <w:sz w:val="24"/>
          <w:szCs w:val="24"/>
        </w:rPr>
        <w:t xml:space="preserve"> within the applicable deadline;</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Maintaining complete accounting records;</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Determining taxable income correctly;</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Identifying related-party transactions;</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Applying arm’s-length transfer-pricing principles;</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Keeping supporting contracts and invoices;</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Filing the Corporate Tax return;</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Paying the amount due; and</w:t>
      </w:r>
    </w:p>
    <w:p w:rsidR="00C64E62" w:rsidRPr="00C64E62" w:rsidRDefault="00C64E62" w:rsidP="00C64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Updating registration information when company details change.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company may have to register and file a return even if no Corporate Tax is ultimately payable or it qualifies for relief.</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Corporate Tax returns and payments are generally due within nine months after the end of the tax period. Relevant records generally must be retained for at least seven years. </w:t>
      </w:r>
      <w:hyperlink r:id="rId7" w:history="1">
        <w:r w:rsidRPr="00C64E62">
          <w:rPr>
            <w:rFonts w:ascii="Times New Roman" w:eastAsia="Times New Roman" w:hAnsi="Times New Roman" w:cs="Times New Roman"/>
            <w:color w:val="0000FF"/>
            <w:sz w:val="24"/>
            <w:szCs w:val="24"/>
            <w:u w:val="single"/>
          </w:rPr>
          <w:t>Federal Tax Authority</w:t>
        </w:r>
      </w:hyperlink>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Small Business Relief, a free-zone incentive or another tax concession does not remove every compliance obligation. Eligibility must be assessed and, where necessary, elected or claimed correctly.</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5. VAT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A UAE-resident business must generally register for VAT when its taxable supplies and imports exceed </w:t>
      </w:r>
      <w:r w:rsidRPr="00C64E62">
        <w:rPr>
          <w:rFonts w:ascii="Times New Roman" w:eastAsia="Times New Roman" w:hAnsi="Times New Roman" w:cs="Times New Roman"/>
          <w:b/>
          <w:bCs/>
          <w:sz w:val="24"/>
          <w:szCs w:val="24"/>
        </w:rPr>
        <w:t>AED 375,000</w:t>
      </w:r>
      <w:r w:rsidRPr="00C64E62">
        <w:rPr>
          <w:rFonts w:ascii="Times New Roman" w:eastAsia="Times New Roman" w:hAnsi="Times New Roman" w:cs="Times New Roman"/>
          <w:sz w:val="24"/>
          <w:szCs w:val="24"/>
        </w:rPr>
        <w:t xml:space="preserve"> during the previous 12 months or are expected to exceed that amount in the next 30 days.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Voluntary registration may be available when taxable supplies, imports or qualifying expenses exceed </w:t>
      </w:r>
      <w:r w:rsidRPr="00C64E62">
        <w:rPr>
          <w:rFonts w:ascii="Times New Roman" w:eastAsia="Times New Roman" w:hAnsi="Times New Roman" w:cs="Times New Roman"/>
          <w:b/>
          <w:bCs/>
          <w:sz w:val="24"/>
          <w:szCs w:val="24"/>
        </w:rPr>
        <w:t>AED 187,500</w:t>
      </w:r>
      <w:r w:rsidRPr="00C64E62">
        <w:rPr>
          <w:rFonts w:ascii="Times New Roman" w:eastAsia="Times New Roman" w:hAnsi="Times New Roman" w:cs="Times New Roman"/>
          <w:sz w:val="24"/>
          <w:szCs w:val="24"/>
        </w:rPr>
        <w:t xml:space="preserve">. </w:t>
      </w:r>
      <w:hyperlink r:id="rId8" w:history="1">
        <w:r w:rsidRPr="00C64E62">
          <w:rPr>
            <w:rFonts w:ascii="Times New Roman" w:eastAsia="Times New Roman" w:hAnsi="Times New Roman" w:cs="Times New Roman"/>
            <w:color w:val="0000FF"/>
            <w:sz w:val="24"/>
            <w:szCs w:val="24"/>
            <w:u w:val="single"/>
          </w:rPr>
          <w:t>Federal Tax Authority VAT guidance</w:t>
        </w:r>
      </w:hyperlink>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VAT-registered business must:</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Issue compliant tax invoices;</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Charge the correct VAT rate;</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Maintain input-tax evidence;</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File VAT returns by the assigned deadlines;</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Pay VAT due;</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Correct errors where required;</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Keep proper records; and</w:t>
      </w:r>
    </w:p>
    <w:p w:rsidR="00C64E62" w:rsidRPr="00C64E62" w:rsidRDefault="00C64E62" w:rsidP="00C64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Deregister when legally required.</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Being below the registration threshold does not remove the need to monitor turnover.</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6. Accounting and financial-record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Every company should maintain reliable and current financial records showing:</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Sales and income;</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Purchases and expenses;</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Assets and liabilities;</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Bank transactions;</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Loans and shareholder contributions;</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Payroll;</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Tax invoices;</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Credit notes and refunds;</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Related-party transactions; and</w:t>
      </w:r>
    </w:p>
    <w:p w:rsidR="00C64E62" w:rsidRPr="00C64E62" w:rsidRDefault="00C64E62" w:rsidP="00C64E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Cash transactions.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Financial statements should accurately reflect the company’s position. An external audit may be required by the company’s legal form, free-zone authority, regulator, lender or constitutional documents.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Personal and company funds should be kept separate. Payments to directors, shareholders and related parties should be documented correctly.</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7. Employment and immigration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company employing staff may need to comply with requirements concerning:</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Valid work permits and residence visas;</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Written employment contracts;</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Employee files;</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Payment of agreed wages;</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Working hours, leave and overtime;</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Health and safety;</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Medical insurance where required;</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End-of-service benefits;</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Work-permit and visa cancellation;</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Workplace complaints;</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Anti-discrimination obligations; and</w:t>
      </w:r>
    </w:p>
    <w:p w:rsidR="00C64E62" w:rsidRPr="00C64E62" w:rsidRDefault="00C64E62" w:rsidP="00C64E6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64E62">
        <w:rPr>
          <w:rFonts w:ascii="Times New Roman" w:eastAsia="Times New Roman" w:hAnsi="Times New Roman" w:cs="Times New Roman"/>
          <w:sz w:val="24"/>
          <w:szCs w:val="24"/>
        </w:rPr>
        <w:t>Emiratisation</w:t>
      </w:r>
      <w:proofErr w:type="spellEnd"/>
      <w:r w:rsidRPr="00C64E62">
        <w:rPr>
          <w:rFonts w:ascii="Times New Roman" w:eastAsia="Times New Roman" w:hAnsi="Times New Roman" w:cs="Times New Roman"/>
          <w:sz w:val="24"/>
          <w:szCs w:val="24"/>
        </w:rPr>
        <w:t xml:space="preserve"> requirements where applicable.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Private-sector establishments covered by the Wage Protection System must pay employees in accordance with the applicable wage-payment rules. </w:t>
      </w:r>
      <w:hyperlink r:id="rId9" w:history="1">
        <w:r w:rsidRPr="00C64E62">
          <w:rPr>
            <w:rFonts w:ascii="Times New Roman" w:eastAsia="Times New Roman" w:hAnsi="Times New Roman" w:cs="Times New Roman"/>
            <w:color w:val="0000FF"/>
            <w:sz w:val="24"/>
            <w:szCs w:val="24"/>
            <w:u w:val="single"/>
          </w:rPr>
          <w:t>MOHRE Wage Protection System</w:t>
        </w:r>
      </w:hyperlink>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proofErr w:type="spellStart"/>
      <w:r w:rsidRPr="00C64E62">
        <w:rPr>
          <w:rFonts w:ascii="Times New Roman" w:eastAsia="Times New Roman" w:hAnsi="Times New Roman" w:cs="Times New Roman"/>
          <w:sz w:val="24"/>
          <w:szCs w:val="24"/>
        </w:rPr>
        <w:t>Emiratisation</w:t>
      </w:r>
      <w:proofErr w:type="spellEnd"/>
      <w:r w:rsidRPr="00C64E62">
        <w:rPr>
          <w:rFonts w:ascii="Times New Roman" w:eastAsia="Times New Roman" w:hAnsi="Times New Roman" w:cs="Times New Roman"/>
          <w:sz w:val="24"/>
          <w:szCs w:val="24"/>
        </w:rPr>
        <w:t xml:space="preserve"> obligations depend on the company’s workforce size and classified economic activity. For example, specified businesses with 20–49 employees and businesses with 50 or more employees may fall under different target systems. </w:t>
      </w:r>
      <w:hyperlink r:id="rId10" w:history="1">
        <w:r w:rsidRPr="00C64E62">
          <w:rPr>
            <w:rFonts w:ascii="Times New Roman" w:eastAsia="Times New Roman" w:hAnsi="Times New Roman" w:cs="Times New Roman"/>
            <w:color w:val="0000FF"/>
            <w:sz w:val="24"/>
            <w:szCs w:val="24"/>
            <w:u w:val="single"/>
          </w:rPr>
          <w:t xml:space="preserve">MOHRE </w:t>
        </w:r>
        <w:proofErr w:type="spellStart"/>
        <w:r w:rsidRPr="00C64E62">
          <w:rPr>
            <w:rFonts w:ascii="Times New Roman" w:eastAsia="Times New Roman" w:hAnsi="Times New Roman" w:cs="Times New Roman"/>
            <w:color w:val="0000FF"/>
            <w:sz w:val="24"/>
            <w:szCs w:val="24"/>
            <w:u w:val="single"/>
          </w:rPr>
          <w:t>Emiratisation</w:t>
        </w:r>
        <w:proofErr w:type="spellEnd"/>
        <w:r w:rsidRPr="00C64E62">
          <w:rPr>
            <w:rFonts w:ascii="Times New Roman" w:eastAsia="Times New Roman" w:hAnsi="Times New Roman" w:cs="Times New Roman"/>
            <w:color w:val="0000FF"/>
            <w:sz w:val="24"/>
            <w:szCs w:val="24"/>
            <w:u w:val="single"/>
          </w:rPr>
          <w:t xml:space="preserve"> guidance</w:t>
        </w:r>
      </w:hyperlink>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Employing someone on the wrong visa, failing to cancel a departed employee’s permit or paying outside the </w:t>
      </w:r>
      <w:proofErr w:type="spellStart"/>
      <w:r w:rsidRPr="00C64E62">
        <w:rPr>
          <w:rFonts w:ascii="Times New Roman" w:eastAsia="Times New Roman" w:hAnsi="Times New Roman" w:cs="Times New Roman"/>
          <w:sz w:val="24"/>
          <w:szCs w:val="24"/>
        </w:rPr>
        <w:t>authorised</w:t>
      </w:r>
      <w:proofErr w:type="spellEnd"/>
      <w:r w:rsidRPr="00C64E62">
        <w:rPr>
          <w:rFonts w:ascii="Times New Roman" w:eastAsia="Times New Roman" w:hAnsi="Times New Roman" w:cs="Times New Roman"/>
          <w:sz w:val="24"/>
          <w:szCs w:val="24"/>
        </w:rPr>
        <w:t xml:space="preserve"> process can expose both the company and its management to penalties.</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8. Anti-money-laundering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Anti-money-laundering requirements do not apply identically to every company. They are particularly important for financial institutions and designated non-financial businesses and professions, including certain:</w:t>
      </w:r>
    </w:p>
    <w:p w:rsidR="00C64E62" w:rsidRPr="00C64E62" w:rsidRDefault="00C64E62" w:rsidP="00C64E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Real-estate brokers and agents;</w:t>
      </w:r>
    </w:p>
    <w:p w:rsidR="00C64E62" w:rsidRPr="00C64E62" w:rsidRDefault="00C64E62" w:rsidP="00C64E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Auditors and accountants;</w:t>
      </w:r>
    </w:p>
    <w:p w:rsidR="00C64E62" w:rsidRPr="00C64E62" w:rsidRDefault="00C64E62" w:rsidP="00C64E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Dealers in precious metals and stones;</w:t>
      </w:r>
    </w:p>
    <w:p w:rsidR="00C64E62" w:rsidRPr="00C64E62" w:rsidRDefault="00C64E62" w:rsidP="00C64E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Lawyers and legal consultants; and</w:t>
      </w:r>
    </w:p>
    <w:p w:rsidR="00C64E62" w:rsidRPr="00C64E62" w:rsidRDefault="00C64E62" w:rsidP="00C64E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Corporate service providers.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corporate-services business such as DSD Corporate Services should determine whether its licensed activities bring it within the DNFBP framework.</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Where applicable, obligations may include:</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Registration on the </w:t>
      </w:r>
      <w:proofErr w:type="spellStart"/>
      <w:r w:rsidRPr="00C64E62">
        <w:rPr>
          <w:rFonts w:ascii="Times New Roman" w:eastAsia="Times New Roman" w:hAnsi="Times New Roman" w:cs="Times New Roman"/>
          <w:sz w:val="24"/>
          <w:szCs w:val="24"/>
        </w:rPr>
        <w:t>goAML</w:t>
      </w:r>
      <w:proofErr w:type="spellEnd"/>
      <w:r w:rsidRPr="00C64E62">
        <w:rPr>
          <w:rFonts w:ascii="Times New Roman" w:eastAsia="Times New Roman" w:hAnsi="Times New Roman" w:cs="Times New Roman"/>
          <w:sz w:val="24"/>
          <w:szCs w:val="24"/>
        </w:rPr>
        <w:t xml:space="preserve"> portal;</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Appointment of a compliance officer;</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Written AML policies and procedures;</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Business-wide risk assessment;</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Customer and beneficial-owner identification;</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Enhanced due diligence for higher-risk clients;</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Politically exposed person and sanctions screening;</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Ongoing transaction monitoring;</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Suspicious transaction or activity reporting;</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Employee training;</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Record retention; and</w:t>
      </w:r>
    </w:p>
    <w:p w:rsidR="00C64E62" w:rsidRPr="00C64E62" w:rsidRDefault="00C64E62" w:rsidP="00C64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Independent compliance review.</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DNFBPs are required to register for </w:t>
      </w:r>
      <w:proofErr w:type="spellStart"/>
      <w:r w:rsidRPr="00C64E62">
        <w:rPr>
          <w:rFonts w:ascii="Times New Roman" w:eastAsia="Times New Roman" w:hAnsi="Times New Roman" w:cs="Times New Roman"/>
          <w:sz w:val="24"/>
          <w:szCs w:val="24"/>
        </w:rPr>
        <w:t>goAML</w:t>
      </w:r>
      <w:proofErr w:type="spellEnd"/>
      <w:r w:rsidRPr="00C64E62">
        <w:rPr>
          <w:rFonts w:ascii="Times New Roman" w:eastAsia="Times New Roman" w:hAnsi="Times New Roman" w:cs="Times New Roman"/>
          <w:sz w:val="24"/>
          <w:szCs w:val="24"/>
        </w:rPr>
        <w:t xml:space="preserve"> and use it to report suspicious transactions or activities. </w:t>
      </w:r>
      <w:hyperlink r:id="rId11" w:history="1">
        <w:r w:rsidRPr="00C64E62">
          <w:rPr>
            <w:rFonts w:ascii="Times New Roman" w:eastAsia="Times New Roman" w:hAnsi="Times New Roman" w:cs="Times New Roman"/>
            <w:color w:val="0000FF"/>
            <w:sz w:val="24"/>
            <w:szCs w:val="24"/>
            <w:u w:val="single"/>
          </w:rPr>
          <w:t xml:space="preserve">Ministry of Economy and Tourism </w:t>
        </w:r>
        <w:proofErr w:type="spellStart"/>
        <w:r w:rsidRPr="00C64E62">
          <w:rPr>
            <w:rFonts w:ascii="Times New Roman" w:eastAsia="Times New Roman" w:hAnsi="Times New Roman" w:cs="Times New Roman"/>
            <w:color w:val="0000FF"/>
            <w:sz w:val="24"/>
            <w:szCs w:val="24"/>
            <w:u w:val="single"/>
          </w:rPr>
          <w:t>goAML</w:t>
        </w:r>
        <w:proofErr w:type="spellEnd"/>
        <w:r w:rsidRPr="00C64E62">
          <w:rPr>
            <w:rFonts w:ascii="Times New Roman" w:eastAsia="Times New Roman" w:hAnsi="Times New Roman" w:cs="Times New Roman"/>
            <w:color w:val="0000FF"/>
            <w:sz w:val="24"/>
            <w:szCs w:val="24"/>
            <w:u w:val="single"/>
          </w:rPr>
          <w:t xml:space="preserve"> guidance</w:t>
        </w:r>
      </w:hyperlink>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The Ministry’s 2025 inspections included penalties against corporate service providers and auditors, demonstrating that this is an actively enforced requirement. </w:t>
      </w:r>
      <w:hyperlink r:id="rId12" w:history="1">
        <w:r w:rsidRPr="00C64E62">
          <w:rPr>
            <w:rFonts w:ascii="Times New Roman" w:eastAsia="Times New Roman" w:hAnsi="Times New Roman" w:cs="Times New Roman"/>
            <w:color w:val="0000FF"/>
            <w:sz w:val="24"/>
            <w:szCs w:val="24"/>
            <w:u w:val="single"/>
          </w:rPr>
          <w:t>Ministry compliance inspection results</w:t>
        </w:r>
      </w:hyperlink>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9. Data-protection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company collecting information about customers, employees, shareholders or website visitors should comply with applicable data-protection requirements.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This normally includes:</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Collecting information for a clear and lawful purpose;</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Giving an appropriate privacy notice;</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Obtaining consent where required;</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Limiting access to </w:t>
      </w:r>
      <w:proofErr w:type="spellStart"/>
      <w:r w:rsidRPr="00C64E62">
        <w:rPr>
          <w:rFonts w:ascii="Times New Roman" w:eastAsia="Times New Roman" w:hAnsi="Times New Roman" w:cs="Times New Roman"/>
          <w:sz w:val="24"/>
          <w:szCs w:val="24"/>
        </w:rPr>
        <w:t>authorised</w:t>
      </w:r>
      <w:proofErr w:type="spellEnd"/>
      <w:r w:rsidRPr="00C64E62">
        <w:rPr>
          <w:rFonts w:ascii="Times New Roman" w:eastAsia="Times New Roman" w:hAnsi="Times New Roman" w:cs="Times New Roman"/>
          <w:sz w:val="24"/>
          <w:szCs w:val="24"/>
        </w:rPr>
        <w:t xml:space="preserve"> personnel;</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Protecting passports, Emirates IDs and banking information;</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Keeping information only as long as necessary;</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Managing service providers that process information;</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Protecting international data transfers;</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Responding to requests concerning personal data; and</w:t>
      </w:r>
    </w:p>
    <w:p w:rsidR="00C64E62" w:rsidRPr="00C64E62" w:rsidRDefault="00C64E62" w:rsidP="00C64E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Managing data breaches.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The UAE Personal Data Protection Law gives individuals rights concerning access, correction and restriction or cessation of processing. </w:t>
      </w:r>
      <w:hyperlink r:id="rId13" w:history="1">
        <w:r w:rsidRPr="00C64E62">
          <w:rPr>
            <w:rFonts w:ascii="Times New Roman" w:eastAsia="Times New Roman" w:hAnsi="Times New Roman" w:cs="Times New Roman"/>
            <w:color w:val="0000FF"/>
            <w:sz w:val="24"/>
            <w:szCs w:val="24"/>
            <w:u w:val="single"/>
          </w:rPr>
          <w:t>UAE Government data-protection guidance</w:t>
        </w:r>
      </w:hyperlink>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10. Consumer and online-business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Businesses selling or promoting services through a website, application or social-media account should provide accurate information concerning:</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company’s identity;</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Services offered;</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Prices and additional charges;</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VAT treatment;</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Payment conditions;</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Cancellation and refund terms;</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Delivery or completion times;</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Complaints procedures; and</w:t>
      </w:r>
    </w:p>
    <w:p w:rsidR="00C64E62" w:rsidRPr="00C64E62" w:rsidRDefault="00C64E62" w:rsidP="00C64E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Customer-data use.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Advertising should not be false or misleading. The company should issue appropriate invoices and </w:t>
      </w:r>
      <w:proofErr w:type="spellStart"/>
      <w:r w:rsidRPr="00C64E62">
        <w:rPr>
          <w:rFonts w:ascii="Times New Roman" w:eastAsia="Times New Roman" w:hAnsi="Times New Roman" w:cs="Times New Roman"/>
          <w:sz w:val="24"/>
          <w:szCs w:val="24"/>
        </w:rPr>
        <w:t>honour</w:t>
      </w:r>
      <w:proofErr w:type="spellEnd"/>
      <w:r w:rsidRPr="00C64E62">
        <w:rPr>
          <w:rFonts w:ascii="Times New Roman" w:eastAsia="Times New Roman" w:hAnsi="Times New Roman" w:cs="Times New Roman"/>
          <w:sz w:val="24"/>
          <w:szCs w:val="24"/>
        </w:rPr>
        <w:t xml:space="preserve"> mandatory consumer rights. </w:t>
      </w:r>
      <w:hyperlink r:id="rId14" w:history="1">
        <w:r w:rsidRPr="00C64E62">
          <w:rPr>
            <w:rFonts w:ascii="Times New Roman" w:eastAsia="Times New Roman" w:hAnsi="Times New Roman" w:cs="Times New Roman"/>
            <w:color w:val="0000FF"/>
            <w:sz w:val="24"/>
            <w:szCs w:val="24"/>
            <w:u w:val="single"/>
          </w:rPr>
          <w:t>UAE consumer-protection guidance</w:t>
        </w:r>
      </w:hyperlink>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11. Sector-specific 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Some activities require additional regulators, permits, qualified managers, insurance or operational standards.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Examples include:</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Banking and financial services;</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Insurance;</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Healthcare;</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Education;</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Tourism and travel;</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Transport and delivery;</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Real estate;</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Food trading and preparation;</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Recruitment;</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Telecommunications;</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Legal consultancy;</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Engineering;</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Security services; and</w:t>
      </w:r>
    </w:p>
    <w:p w:rsidR="00C64E62" w:rsidRPr="00C64E62" w:rsidRDefault="00C64E62" w:rsidP="00C64E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Importing regulated products.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valid general trade license does not replace these external approvals.</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How compliance applies during the company lifecycle</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At incorporation</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 should determine:</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Correct legal form and licensed activities;</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Ownership and beneficial-owner position;</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Required premises and external approvals;</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Corporate Tax registration deadline;</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VAT position;</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AML classification;</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Immigration and employment requirements; and</w:t>
      </w:r>
    </w:p>
    <w:p w:rsidR="00C64E62" w:rsidRPr="00C64E62" w:rsidRDefault="00C64E62" w:rsidP="00C64E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Required insurance and internal policies.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During daily operations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 should maintain:</w:t>
      </w:r>
    </w:p>
    <w:p w:rsidR="00C64E62" w:rsidRPr="00C64E62" w:rsidRDefault="00C64E62" w:rsidP="00C64E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Accurate bookkeeping;</w:t>
      </w:r>
    </w:p>
    <w:p w:rsidR="00C64E62" w:rsidRPr="00C64E62" w:rsidRDefault="00C64E62" w:rsidP="00C64E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Valid employee and immigration records;</w:t>
      </w:r>
    </w:p>
    <w:p w:rsidR="00C64E62" w:rsidRPr="00C64E62" w:rsidRDefault="00C64E62" w:rsidP="00C64E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Customer contracts and invoices;</w:t>
      </w:r>
    </w:p>
    <w:p w:rsidR="00C64E62" w:rsidRPr="00C64E62" w:rsidRDefault="00C64E62" w:rsidP="00C64E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Data security;</w:t>
      </w:r>
    </w:p>
    <w:p w:rsidR="00C64E62" w:rsidRPr="00C64E62" w:rsidRDefault="00C64E62" w:rsidP="00C64E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AML and sanctions checks where applicable;</w:t>
      </w:r>
    </w:p>
    <w:p w:rsidR="00C64E62" w:rsidRPr="00C64E62" w:rsidRDefault="00C64E62" w:rsidP="00C64E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Proper approval of financial transactions; and</w:t>
      </w:r>
    </w:p>
    <w:p w:rsidR="00C64E62" w:rsidRPr="00C64E62" w:rsidRDefault="00C64E62" w:rsidP="00C64E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Evidence supporting business expenses and payments.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At periodic deadlines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 may need to complete:</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License and permit renewals;</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Lease or occupancy renewals;</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VAT returns;</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Corporate Tax returns;</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Annual accounts and audits;</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Establishment-card renewals;</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Insurance renewals;</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Employee permit renewals; and</w:t>
      </w:r>
    </w:p>
    <w:p w:rsidR="00C64E62" w:rsidRPr="00C64E62" w:rsidRDefault="00C64E62" w:rsidP="00C64E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Regulatory declarations.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When a material change occurs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 may need to notify or obtain approval from the relevant authority when it changes:</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Shareholders or beneficial owners;</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Directors or managers;</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Registered address;</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Trade name;</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Business activities;</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Share capital;</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Bank details;</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Accounting period;</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Legal form; or</w:t>
      </w:r>
    </w:p>
    <w:p w:rsidR="00C64E62" w:rsidRPr="00C64E62" w:rsidRDefault="00C64E62" w:rsidP="00C64E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Branch structure.</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Merits of company compliance</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1. Avoidance of penalties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Proper compliance reduces the risk of fines, license suspension, business closure, immigration blocks and tax penalties.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2. Easier license and visa renewal</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Accurate and current company records make renewals and amendments more efficient.</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3. Better banking relationships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Banks are more comfortable dealing with companies that can provide:</w:t>
      </w:r>
    </w:p>
    <w:p w:rsidR="00C64E62" w:rsidRPr="00C64E62" w:rsidRDefault="00C64E62" w:rsidP="00C64E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Clear ownership information;</w:t>
      </w:r>
    </w:p>
    <w:p w:rsidR="00C64E62" w:rsidRPr="00C64E62" w:rsidRDefault="00C64E62" w:rsidP="00C64E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Audited or reliable accounts;</w:t>
      </w:r>
    </w:p>
    <w:p w:rsidR="00C64E62" w:rsidRPr="00C64E62" w:rsidRDefault="00C64E62" w:rsidP="00C64E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Tax records;</w:t>
      </w:r>
    </w:p>
    <w:p w:rsidR="00C64E62" w:rsidRPr="00C64E62" w:rsidRDefault="00C64E62" w:rsidP="00C64E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Contracts and invoices;</w:t>
      </w:r>
    </w:p>
    <w:p w:rsidR="00C64E62" w:rsidRPr="00C64E62" w:rsidRDefault="00C64E62" w:rsidP="00C64E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Source-of-funds evidence; and</w:t>
      </w:r>
    </w:p>
    <w:p w:rsidR="00C64E62" w:rsidRPr="00C64E62" w:rsidRDefault="00C64E62" w:rsidP="00C64E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Properly </w:t>
      </w:r>
      <w:proofErr w:type="spellStart"/>
      <w:r w:rsidRPr="00C64E62">
        <w:rPr>
          <w:rFonts w:ascii="Times New Roman" w:eastAsia="Times New Roman" w:hAnsi="Times New Roman" w:cs="Times New Roman"/>
          <w:sz w:val="24"/>
          <w:szCs w:val="24"/>
        </w:rPr>
        <w:t>authorised</w:t>
      </w:r>
      <w:proofErr w:type="spellEnd"/>
      <w:r w:rsidRPr="00C64E62">
        <w:rPr>
          <w:rFonts w:ascii="Times New Roman" w:eastAsia="Times New Roman" w:hAnsi="Times New Roman" w:cs="Times New Roman"/>
          <w:sz w:val="24"/>
          <w:szCs w:val="24"/>
        </w:rPr>
        <w:t xml:space="preserve"> signatories.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4. Improved reputation</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Compliance builds confidence among customers, suppliers, employees, investors and authorities.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5. Eligibility for contracts and tenders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Government bodies and larger companies commonly request licenses, tax certificates, financial statements, insurance, AML documentation and other compliance evidence before awarding work.</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6. Protection of owners and management</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Proper resolutions, contracts, accounting records and authority controls reduce personal exposure and internal disputes.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7. Better investment and sale value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compliant company is easier to value, finance, restructure or sell because its records can pass legal, financial and regulatory due diligence.</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lastRenderedPageBreak/>
        <w:t>8. Operational stability</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compliance calendar helps prevent unexpected license expiry, employee blocks, tax deadlines and loss of important approvals.</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Demerits and practical burdens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Compliance is legally necessary, but it creates operational burdens.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1. Financial cost</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Expenses may include:</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License and permit renewals;</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Accountants and auditors;</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Tax advisers;</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Compliance officers;</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Legal advice;</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Software;</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Employee training;</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Insurance; and</w:t>
      </w:r>
    </w:p>
    <w:p w:rsidR="00C64E62" w:rsidRPr="00C64E62" w:rsidRDefault="00C64E62" w:rsidP="00C64E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Government filing fees.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2. Administrative workload</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 company must collect documents, maintain registers, monitor deadlines and respond to regulatory enquiries.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3. Regulatory complexity</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Requirements differ between mainland authorities, free zones, Emirates and industry regulators. Rules and procedures may also change.</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4. Increased disclosure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Companies may need to disclose ownership, financial, employee and transaction information to competent authorities, banks and auditors.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5. Slower transactions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Due diligence, approvals and internal controls may slow onboarding, payments, ownership changes and higher-risk transactions.</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6. Dependence on professionals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A company may depend on accountants, auditors, corporate-service providers and legal advisers. Poor advice or missed deadlines by a provider can still affect the company, because ultimate responsibility often remains with the business and its management.</w:t>
      </w:r>
    </w:p>
    <w:p w:rsidR="00C64E62" w:rsidRPr="00C64E62" w:rsidRDefault="00C64E62" w:rsidP="00C64E62">
      <w:pPr>
        <w:spacing w:before="100" w:beforeAutospacing="1" w:after="100" w:afterAutospacing="1" w:line="240" w:lineRule="auto"/>
        <w:outlineLvl w:val="2"/>
        <w:rPr>
          <w:rFonts w:ascii="Times New Roman" w:eastAsia="Times New Roman" w:hAnsi="Times New Roman" w:cs="Times New Roman"/>
          <w:b/>
          <w:bCs/>
          <w:sz w:val="27"/>
          <w:szCs w:val="27"/>
        </w:rPr>
      </w:pPr>
      <w:r w:rsidRPr="00C64E62">
        <w:rPr>
          <w:rFonts w:ascii="Times New Roman" w:eastAsia="Times New Roman" w:hAnsi="Times New Roman" w:cs="Times New Roman"/>
          <w:b/>
          <w:bCs/>
          <w:sz w:val="27"/>
          <w:szCs w:val="27"/>
        </w:rPr>
        <w:t>7. Cost of correcting past non-compliance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Late registration, inaccurate records or missing filings may require voluntary disclosures, amended returns, penalties and substantial professional work.</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These burdens are disadvantages of the compliance process, but they are normally much smaller than the financial and legal risks of non-compliance.</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Consequences of non-compliance</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Depending on the violation, consequences may include:</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Administrative fines;</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Tax penalties and assessments;</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License suspension or non-renewal;</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Immigration or </w:t>
      </w:r>
      <w:proofErr w:type="spellStart"/>
      <w:r w:rsidRPr="00C64E62">
        <w:rPr>
          <w:rFonts w:ascii="Times New Roman" w:eastAsia="Times New Roman" w:hAnsi="Times New Roman" w:cs="Times New Roman"/>
          <w:sz w:val="24"/>
          <w:szCs w:val="24"/>
        </w:rPr>
        <w:t>labour</w:t>
      </w:r>
      <w:proofErr w:type="spellEnd"/>
      <w:r w:rsidRPr="00C64E62">
        <w:rPr>
          <w:rFonts w:ascii="Times New Roman" w:eastAsia="Times New Roman" w:hAnsi="Times New Roman" w:cs="Times New Roman"/>
          <w:sz w:val="24"/>
          <w:szCs w:val="24"/>
        </w:rPr>
        <w:t>-system restrictions;</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Suspension of new work permits;</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Bank-account restriction or closure;</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Loss of tax relief or free-zone benefits;</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Regulatory inspection;</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Director or manager liability;</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Contract termination;</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Reputational damage;</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Civil claims; and</w:t>
      </w:r>
    </w:p>
    <w:p w:rsidR="00C64E62" w:rsidRPr="00C64E62" w:rsidRDefault="00C64E62" w:rsidP="00C64E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Criminal investigation for serious fraud, money laundering, forged documents or intentional misconduct.</w:t>
      </w:r>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Important update on Economic Substance Regulations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 xml:space="preserve">Businesses should be careful with outdated compliance checklists. The UAE cancelled Economic Substance reporting requirements for financial years ending after </w:t>
      </w:r>
      <w:r w:rsidRPr="00C64E62">
        <w:rPr>
          <w:rFonts w:ascii="Times New Roman" w:eastAsia="Times New Roman" w:hAnsi="Times New Roman" w:cs="Times New Roman"/>
          <w:b/>
          <w:bCs/>
          <w:sz w:val="24"/>
          <w:szCs w:val="24"/>
        </w:rPr>
        <w:t>31 December 2022</w:t>
      </w:r>
      <w:r w:rsidRPr="00C64E62">
        <w:rPr>
          <w:rFonts w:ascii="Times New Roman" w:eastAsia="Times New Roman" w:hAnsi="Times New Roman" w:cs="Times New Roman"/>
          <w:sz w:val="24"/>
          <w:szCs w:val="24"/>
        </w:rPr>
        <w:t xml:space="preserve">. Historical obligations for earlier periods may still need to be resolved. </w:t>
      </w:r>
      <w:hyperlink r:id="rId15" w:history="1">
        <w:r w:rsidRPr="00C64E62">
          <w:rPr>
            <w:rFonts w:ascii="Times New Roman" w:eastAsia="Times New Roman" w:hAnsi="Times New Roman" w:cs="Times New Roman"/>
            <w:color w:val="0000FF"/>
            <w:sz w:val="24"/>
            <w:szCs w:val="24"/>
            <w:u w:val="single"/>
          </w:rPr>
          <w:t>UAE Ministry of Finance</w:t>
        </w:r>
      </w:hyperlink>
    </w:p>
    <w:p w:rsidR="00C64E62" w:rsidRPr="00C64E62" w:rsidRDefault="00C64E62" w:rsidP="00C64E62">
      <w:pPr>
        <w:spacing w:before="100" w:beforeAutospacing="1" w:after="100" w:afterAutospacing="1" w:line="240" w:lineRule="auto"/>
        <w:outlineLvl w:val="1"/>
        <w:rPr>
          <w:rFonts w:ascii="Times New Roman" w:eastAsia="Times New Roman" w:hAnsi="Times New Roman" w:cs="Times New Roman"/>
          <w:b/>
          <w:bCs/>
          <w:sz w:val="36"/>
          <w:szCs w:val="36"/>
        </w:rPr>
      </w:pPr>
      <w:r w:rsidRPr="00C64E62">
        <w:rPr>
          <w:rFonts w:ascii="Times New Roman" w:eastAsia="Times New Roman" w:hAnsi="Times New Roman" w:cs="Times New Roman"/>
          <w:b/>
          <w:bCs/>
          <w:sz w:val="36"/>
          <w:szCs w:val="36"/>
        </w:rPr>
        <w:t>Practical conclusion</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Company compliance in the UAE is best managed through a formal compliance calendar covering:</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C64E62">
        <w:rPr>
          <w:rFonts w:ascii="Times New Roman" w:eastAsia="Times New Roman" w:hAnsi="Times New Roman" w:cs="Times New Roman"/>
          <w:sz w:val="24"/>
          <w:szCs w:val="24"/>
        </w:rPr>
        <w:t>Licence</w:t>
      </w:r>
      <w:proofErr w:type="spellEnd"/>
      <w:r w:rsidRPr="00C64E62">
        <w:rPr>
          <w:rFonts w:ascii="Times New Roman" w:eastAsia="Times New Roman" w:hAnsi="Times New Roman" w:cs="Times New Roman"/>
          <w:sz w:val="24"/>
          <w:szCs w:val="24"/>
        </w:rPr>
        <w:t xml:space="preserve"> and regulatory renewals;</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Corporate Tax and VAT deadlines;</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Bookkeeping and financial statements;</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lastRenderedPageBreak/>
        <w:t>Beneficial-owner updates;</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Employment and immigration records;</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AML obligations where applicable;</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Data protection;</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Contracts and corporate resolutions; and</w:t>
      </w:r>
    </w:p>
    <w:p w:rsidR="00C64E62" w:rsidRPr="00C64E62" w:rsidRDefault="00C64E62" w:rsidP="00C64E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Event-driven changes to ownership, management or business activities.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This is general guidance, not a substitute for advice based on the company’s exact trade license, legal form, free zone or mainland registration and regulated activities.</w:t>
      </w:r>
    </w:p>
    <w:p w:rsidR="00C64E62" w:rsidRPr="00C64E62" w:rsidRDefault="00C64E62" w:rsidP="00C64E62">
      <w:pPr>
        <w:spacing w:before="100" w:beforeAutospacing="1" w:after="100" w:afterAutospacing="1" w:line="240" w:lineRule="auto"/>
        <w:rPr>
          <w:rFonts w:ascii="Times New Roman" w:eastAsia="Times New Roman" w:hAnsi="Times New Roman" w:cs="Times New Roman"/>
          <w:sz w:val="24"/>
          <w:szCs w:val="24"/>
        </w:rPr>
      </w:pPr>
      <w:r w:rsidRPr="00C64E62">
        <w:rPr>
          <w:rFonts w:ascii="Times New Roman" w:eastAsia="Times New Roman" w:hAnsi="Times New Roman" w:cs="Times New Roman"/>
          <w:sz w:val="24"/>
          <w:szCs w:val="24"/>
        </w:rPr>
        <w:t>A recurring compliance check can help prevent missed filings and renewals.</w:t>
      </w:r>
    </w:p>
    <w:p w:rsidR="00845029" w:rsidRDefault="00845029"/>
    <w:sectPr w:rsidR="0084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10593"/>
    <w:multiLevelType w:val="multilevel"/>
    <w:tmpl w:val="289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11F4A"/>
    <w:multiLevelType w:val="multilevel"/>
    <w:tmpl w:val="434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A4F9D"/>
    <w:multiLevelType w:val="multilevel"/>
    <w:tmpl w:val="FA2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3315"/>
    <w:multiLevelType w:val="multilevel"/>
    <w:tmpl w:val="EDA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6E09"/>
    <w:multiLevelType w:val="multilevel"/>
    <w:tmpl w:val="1E9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97909"/>
    <w:multiLevelType w:val="multilevel"/>
    <w:tmpl w:val="54D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A5D57"/>
    <w:multiLevelType w:val="multilevel"/>
    <w:tmpl w:val="216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222B4"/>
    <w:multiLevelType w:val="multilevel"/>
    <w:tmpl w:val="F82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31D01"/>
    <w:multiLevelType w:val="multilevel"/>
    <w:tmpl w:val="E1B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74B29"/>
    <w:multiLevelType w:val="multilevel"/>
    <w:tmpl w:val="4D1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8769C"/>
    <w:multiLevelType w:val="multilevel"/>
    <w:tmpl w:val="225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27585"/>
    <w:multiLevelType w:val="multilevel"/>
    <w:tmpl w:val="8044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F4365"/>
    <w:multiLevelType w:val="multilevel"/>
    <w:tmpl w:val="9E0E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3A2C02"/>
    <w:multiLevelType w:val="multilevel"/>
    <w:tmpl w:val="1FF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65FF8"/>
    <w:multiLevelType w:val="multilevel"/>
    <w:tmpl w:val="E0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014CF"/>
    <w:multiLevelType w:val="multilevel"/>
    <w:tmpl w:val="DE2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54764"/>
    <w:multiLevelType w:val="multilevel"/>
    <w:tmpl w:val="131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715B4"/>
    <w:multiLevelType w:val="multilevel"/>
    <w:tmpl w:val="888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E0C61"/>
    <w:multiLevelType w:val="multilevel"/>
    <w:tmpl w:val="4B0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C4B41"/>
    <w:multiLevelType w:val="multilevel"/>
    <w:tmpl w:val="895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C7BCC"/>
    <w:multiLevelType w:val="multilevel"/>
    <w:tmpl w:val="05C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
  </w:num>
  <w:num w:numId="4">
    <w:abstractNumId w:val="18"/>
  </w:num>
  <w:num w:numId="5">
    <w:abstractNumId w:val="15"/>
  </w:num>
  <w:num w:numId="6">
    <w:abstractNumId w:val="19"/>
  </w:num>
  <w:num w:numId="7">
    <w:abstractNumId w:val="9"/>
  </w:num>
  <w:num w:numId="8">
    <w:abstractNumId w:val="5"/>
  </w:num>
  <w:num w:numId="9">
    <w:abstractNumId w:val="11"/>
  </w:num>
  <w:num w:numId="10">
    <w:abstractNumId w:val="7"/>
  </w:num>
  <w:num w:numId="11">
    <w:abstractNumId w:val="3"/>
  </w:num>
  <w:num w:numId="12">
    <w:abstractNumId w:val="2"/>
  </w:num>
  <w:num w:numId="13">
    <w:abstractNumId w:val="20"/>
  </w:num>
  <w:num w:numId="14">
    <w:abstractNumId w:val="14"/>
  </w:num>
  <w:num w:numId="15">
    <w:abstractNumId w:val="0"/>
  </w:num>
  <w:num w:numId="16">
    <w:abstractNumId w:val="6"/>
  </w:num>
  <w:num w:numId="17">
    <w:abstractNumId w:val="10"/>
  </w:num>
  <w:num w:numId="18">
    <w:abstractNumId w:val="13"/>
  </w:num>
  <w:num w:numId="19">
    <w:abstractNumId w:val="16"/>
  </w:num>
  <w:num w:numId="20">
    <w:abstractNumId w:val="17"/>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E62"/>
    <w:rsid w:val="00064EFD"/>
    <w:rsid w:val="00845029"/>
    <w:rsid w:val="00C64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1FD2"/>
  <w15:chartTrackingRefBased/>
  <w15:docId w15:val="{62619698-5323-4C32-B2E7-1606DF3F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74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x.gov.ae/en/taxes/Vat/vat.topics/registration.for.vat.aspx" TargetMode="External"/><Relationship Id="rId13" Type="http://schemas.openxmlformats.org/officeDocument/2006/relationships/hyperlink" Target="https://u.ae/en/about-the-uae/digital-uae/data/data-protection-laws" TargetMode="External"/><Relationship Id="rId3" Type="http://schemas.openxmlformats.org/officeDocument/2006/relationships/settings" Target="settings.xml"/><Relationship Id="rId7" Type="http://schemas.openxmlformats.org/officeDocument/2006/relationships/hyperlink" Target="https://tax.gov.ae/en/media.centre/news/pr.28082025.aspx" TargetMode="External"/><Relationship Id="rId12" Type="http://schemas.openxmlformats.org/officeDocument/2006/relationships/hyperlink" Target="https://www.moet.gov.ae/en/-/ministry-of-economy-and-tourism-announces-h1-2025-inspection-results-on-private-sector-compliance-with-anti-money-laundering-law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oet.gov.ae/documents/20121/0/Cabinet%2BDecision%2B109-2023%2BEnglish%2BVersion%2B06062024.pdf/f7138fc2-fe12-cef3-077b-b4c49c12eabd?t=1718181974877" TargetMode="External"/><Relationship Id="rId11" Type="http://schemas.openxmlformats.org/officeDocument/2006/relationships/hyperlink" Target="https://www.moet.gov.ae/en/registering-companies-in-goaml" TargetMode="External"/><Relationship Id="rId5" Type="http://schemas.openxmlformats.org/officeDocument/2006/relationships/hyperlink" Target="https://uaelegislation.gov.ae/en/legislations/1542" TargetMode="External"/><Relationship Id="rId15" Type="http://schemas.openxmlformats.org/officeDocument/2006/relationships/hyperlink" Target="https://mof.gov.ae/en/news/ministry-of-finance-announces-amendment-to-cabinet-decision-on-economic-substance-requirements/" TargetMode="External"/><Relationship Id="rId10" Type="http://schemas.openxmlformats.org/officeDocument/2006/relationships/hyperlink" Target="https://mohre.gov.ae/en/guidance-and-awareness-portal-new/emiratisation-targets" TargetMode="External"/><Relationship Id="rId4" Type="http://schemas.openxmlformats.org/officeDocument/2006/relationships/webSettings" Target="webSettings.xml"/><Relationship Id="rId9" Type="http://schemas.openxmlformats.org/officeDocument/2006/relationships/hyperlink" Target="https://www.mohre.gov.ae/en/guidance-and-awareness-portal-new/wages-protection-system" TargetMode="External"/><Relationship Id="rId14" Type="http://schemas.openxmlformats.org/officeDocument/2006/relationships/hyperlink" Target="https://u.ae/en/information-and-services/justice-safety-and-the-law/consumer-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2728</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2026-08-27T00:14:00Z</dcterms:created>
  <dcterms:modified xsi:type="dcterms:W3CDTF">2026-08-27T00:25:00Z</dcterms:modified>
</cp:coreProperties>
</file>