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A52" w:rsidRPr="00251A52" w:rsidRDefault="00251A52" w:rsidP="00C0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C021B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local</w:t>
      </w:r>
      <w:proofErr w:type="gramEnd"/>
      <w:r w:rsidRPr="00C021B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sponsorship</w:t>
      </w:r>
      <w:bookmarkStart w:id="0" w:name="_GoBack"/>
      <w:bookmarkEnd w:id="0"/>
    </w:p>
    <w:p w:rsidR="00C021B2" w:rsidRPr="00C021B2" w:rsidRDefault="00251A52" w:rsidP="00C0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What it</w:t>
      </w:r>
      <w:r w:rsidR="00C021B2" w:rsidRPr="00C021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means in the UAE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In UAE business practice, </w:t>
      </w:r>
      <w:r w:rsidRPr="00C021B2">
        <w:rPr>
          <w:rFonts w:ascii="Times New Roman" w:eastAsia="Times New Roman" w:hAnsi="Times New Roman" w:cs="Times New Roman"/>
          <w:b/>
          <w:bCs/>
          <w:sz w:val="24"/>
          <w:szCs w:val="24"/>
        </w:rPr>
        <w:t>local sponsorship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traditionally meant appointing a UAE national—or, in some cases, a UAE-owned company—to participate in or support a foreign-owned mainland business.</w:t>
      </w:r>
    </w:p>
    <w:p w:rsidR="00251A52" w:rsidRPr="00B243BE" w:rsidRDefault="00C021B2" w:rsidP="00251A52">
      <w:pPr>
        <w:rPr>
          <w:rFonts w:ascii="Arial Black" w:hAnsi="Arial Black"/>
          <w:sz w:val="48"/>
          <w:szCs w:val="48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However, the law has changed significantly. </w:t>
      </w:r>
      <w:r w:rsidRPr="00C021B2">
        <w:rPr>
          <w:rFonts w:ascii="Times New Roman" w:eastAsia="Times New Roman" w:hAnsi="Times New Roman" w:cs="Times New Roman"/>
          <w:b/>
          <w:bCs/>
          <w:sz w:val="24"/>
          <w:szCs w:val="24"/>
        </w:rPr>
        <w:t>Most ordinary mainland businesses can now be 100% foreign-owned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, so an Emirati sponsor is no longer automatically required. The Ministry of Economy and Tourism confirms that investors of all nationalities may fully own companies, subject to limited exceptions. </w:t>
      </w:r>
      <w:r w:rsidR="00251A52"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251A52">
        <w:rPr>
          <w:rFonts w:ascii="Times New Roman" w:eastAsia="Times New Roman" w:hAnsi="Times New Roman" w:cs="Times New Roman"/>
          <w:sz w:val="24"/>
          <w:szCs w:val="24"/>
        </w:rPr>
        <w:t>Expert advice on UAE</w:t>
      </w:r>
      <w:r w:rsidR="00251A52">
        <w:rPr>
          <w:rFonts w:ascii="Times New Roman" w:eastAsia="Times New Roman" w:hAnsi="Times New Roman" w:cs="Times New Roman"/>
          <w:sz w:val="24"/>
          <w:szCs w:val="24"/>
        </w:rPr>
        <w:t xml:space="preserve"> company set = up</w:t>
      </w:r>
      <w:r w:rsidR="00251A52">
        <w:rPr>
          <w:rFonts w:ascii="Times New Roman" w:eastAsia="Times New Roman" w:hAnsi="Times New Roman" w:cs="Times New Roman"/>
          <w:sz w:val="24"/>
          <w:szCs w:val="24"/>
        </w:rPr>
        <w:t xml:space="preserve">, reach us on: </w:t>
      </w:r>
      <w:r w:rsidR="00251A52"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1A52" w:rsidRPr="004F0A7F">
        <w:rPr>
          <w:rFonts w:ascii="Arial Black" w:hAnsi="Arial Black"/>
          <w:sz w:val="24"/>
          <w:szCs w:val="24"/>
        </w:rPr>
        <w:t>CALL TO ACTION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exact position depends on:</w:t>
      </w:r>
    </w:p>
    <w:p w:rsidR="00C021B2" w:rsidRPr="00C021B2" w:rsidRDefault="00C021B2" w:rsidP="00C02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licensed business activity</w:t>
      </w:r>
    </w:p>
    <w:p w:rsidR="00C021B2" w:rsidRPr="00C021B2" w:rsidRDefault="00C021B2" w:rsidP="00C02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company’s legal form</w:t>
      </w:r>
    </w:p>
    <w:p w:rsidR="00C021B2" w:rsidRPr="00C021B2" w:rsidRDefault="00C021B2" w:rsidP="00C02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The Emirate issuing the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</w:p>
    <w:p w:rsidR="00C021B2" w:rsidRPr="00C021B2" w:rsidRDefault="00C021B2" w:rsidP="00C02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Whether the activity has strategic impact</w:t>
      </w:r>
    </w:p>
    <w:p w:rsidR="00C021B2" w:rsidRPr="00C021B2" w:rsidRDefault="00C021B2" w:rsidP="00C02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Whether another regulator must approve the business</w:t>
      </w:r>
    </w:p>
    <w:p w:rsidR="00C021B2" w:rsidRPr="00C021B2" w:rsidRDefault="00C021B2" w:rsidP="00C02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Whether “sponsorship” refers to company ownership, agency or immigration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1B2">
        <w:rPr>
          <w:rFonts w:ascii="Times New Roman" w:eastAsia="Times New Roman" w:hAnsi="Times New Roman" w:cs="Times New Roman"/>
          <w:b/>
          <w:bCs/>
          <w:sz w:val="36"/>
          <w:szCs w:val="36"/>
        </w:rPr>
        <w:t>Four different arrangements commonly called sponsorship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1. UAE national shareholder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Under the historical mainland structure, a UAE national generally held at least 51% of an LLC’s registered shares, while the foreign investor held up to 49%.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UAE national was therefore a legal shareholder—not merely an administrative agent—even where separate agreements gave the foreign investor operational control or most of the economic benefit.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This structure is </w:t>
      </w:r>
      <w:r w:rsidRPr="00C021B2">
        <w:rPr>
          <w:rFonts w:ascii="Times New Roman" w:eastAsia="Times New Roman" w:hAnsi="Times New Roman" w:cs="Times New Roman"/>
          <w:b/>
          <w:bCs/>
          <w:sz w:val="24"/>
          <w:szCs w:val="24"/>
        </w:rPr>
        <w:t>no longer generally required for ordinary mainland activities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>. It may remain relevant where:</w:t>
      </w:r>
    </w:p>
    <w:p w:rsidR="00C021B2" w:rsidRPr="00C021B2" w:rsidRDefault="00C021B2" w:rsidP="00C02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activity is restricted;</w:t>
      </w:r>
    </w:p>
    <w:p w:rsidR="00C021B2" w:rsidRPr="00C021B2" w:rsidRDefault="00C021B2" w:rsidP="00C02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regulator imposes national ownership requirements;</w:t>
      </w:r>
    </w:p>
    <w:p w:rsidR="00C021B2" w:rsidRPr="00C021B2" w:rsidRDefault="00C021B2" w:rsidP="00C02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UAE partner is commercially desirable; or</w:t>
      </w:r>
    </w:p>
    <w:p w:rsidR="00C021B2" w:rsidRPr="00C021B2" w:rsidRDefault="00C021B2" w:rsidP="00C02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parties want a genuine joint venture.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2. Local service agent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lastRenderedPageBreak/>
        <w:t>A local service agent is different from a shareholder. The agent does not ordinarily own shares, manage the business or receive a share of its profits unless the contract provides otherwise.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Historically, the agent assisted with:</w:t>
      </w:r>
    </w:p>
    <w:p w:rsidR="00C021B2" w:rsidRPr="00C021B2" w:rsidRDefault="00C021B2" w:rsidP="00C02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applications and renewals</w:t>
      </w:r>
    </w:p>
    <w:p w:rsidR="00C021B2" w:rsidRPr="00C021B2" w:rsidRDefault="00C021B2" w:rsidP="00C02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Government correspondence</w:t>
      </w:r>
    </w:p>
    <w:p w:rsidR="00C021B2" w:rsidRPr="00C021B2" w:rsidRDefault="00C021B2" w:rsidP="00C02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Immigration and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processes</w:t>
      </w:r>
    </w:p>
    <w:p w:rsidR="00C021B2" w:rsidRPr="00C021B2" w:rsidRDefault="00C021B2" w:rsidP="00C02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Obtaining administrative approvals</w:t>
      </w:r>
    </w:p>
    <w:p w:rsidR="00C021B2" w:rsidRPr="00C021B2" w:rsidRDefault="00C021B2" w:rsidP="00C02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Liaising with public authorities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agent normally received a fixed annual fee.</w:t>
      </w:r>
    </w:p>
    <w:p w:rsidR="00251A52" w:rsidRPr="00B243BE" w:rsidRDefault="00C021B2" w:rsidP="00251A52">
      <w:pPr>
        <w:rPr>
          <w:rFonts w:ascii="Arial Black" w:hAnsi="Arial Black"/>
          <w:sz w:val="48"/>
          <w:szCs w:val="48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Commercial Companies Law removed the general requirement for a UAE national agent for foreign-company branches. Nevertheless, professional establishments, regulated activities and particular local licensing structures should still be checked with the relevant authority before incorporation</w:t>
      </w:r>
      <w:r w:rsidR="00251A52">
        <w:rPr>
          <w:rFonts w:ascii="Times New Roman" w:eastAsia="Times New Roman" w:hAnsi="Times New Roman" w:cs="Times New Roman"/>
          <w:sz w:val="24"/>
          <w:szCs w:val="24"/>
        </w:rPr>
        <w:t>.</w:t>
      </w:r>
      <w:r w:rsidR="00251A52" w:rsidRPr="00251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1A52"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251A52">
        <w:rPr>
          <w:rFonts w:ascii="Times New Roman" w:eastAsia="Times New Roman" w:hAnsi="Times New Roman" w:cs="Times New Roman"/>
          <w:sz w:val="24"/>
          <w:szCs w:val="24"/>
        </w:rPr>
        <w:t xml:space="preserve">Expert advice on UAE mainland businesses, reach us on: </w:t>
      </w:r>
      <w:r w:rsidR="00251A52"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1A52" w:rsidRPr="004F0A7F">
        <w:rPr>
          <w:rFonts w:ascii="Arial Black" w:hAnsi="Arial Black"/>
          <w:sz w:val="24"/>
          <w:szCs w:val="24"/>
        </w:rPr>
        <w:t>CALL TO ACTION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21B2" w:rsidRPr="00C021B2" w:rsidRDefault="00251A5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C021B2"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. Immigration or visa sponsor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Visa sponsorship is a separate concept.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UAE company may sponsor the residence visas and work permits of its employees. A resident may also sponsor qualifying family members. This does not mean that the visa sponsor owns the business.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1B2">
        <w:rPr>
          <w:rFonts w:ascii="Times New Roman" w:eastAsia="Times New Roman" w:hAnsi="Times New Roman" w:cs="Times New Roman"/>
          <w:b/>
          <w:bCs/>
          <w:sz w:val="36"/>
          <w:szCs w:val="36"/>
        </w:rPr>
        <w:t>When is local sponsorship required?</w:t>
      </w:r>
    </w:p>
    <w:p w:rsidR="00C021B2" w:rsidRPr="00C021B2" w:rsidRDefault="00251A5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</w:t>
      </w:r>
      <w:r w:rsidR="00C021B2"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ainland </w:t>
      </w: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Company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For most non-strategic commercial and professional activities, a foreign investor may form and own 100% of a mainland company.</w:t>
      </w:r>
    </w:p>
    <w:p w:rsidR="004F0A7F" w:rsidRPr="00B243BE" w:rsidRDefault="00C021B2" w:rsidP="004F0A7F">
      <w:pPr>
        <w:rPr>
          <w:rFonts w:ascii="Arial Black" w:hAnsi="Arial Black"/>
          <w:sz w:val="48"/>
          <w:szCs w:val="48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The Ministry describes mainland licensing as not requiring a citizen partner for economic activities generally, except activities with strategic impact. </w:t>
      </w:r>
      <w:r w:rsidR="004F0A7F"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4F0A7F">
        <w:rPr>
          <w:rFonts w:ascii="Times New Roman" w:eastAsia="Times New Roman" w:hAnsi="Times New Roman" w:cs="Times New Roman"/>
          <w:sz w:val="24"/>
          <w:szCs w:val="24"/>
        </w:rPr>
        <w:t xml:space="preserve">Expert advice on UAE mainland businesses, reach us on: </w:t>
      </w:r>
      <w:r w:rsidR="004F0A7F"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0A7F" w:rsidRPr="004F0A7F">
        <w:rPr>
          <w:rFonts w:ascii="Arial Black" w:hAnsi="Arial Black"/>
          <w:sz w:val="24"/>
          <w:szCs w:val="24"/>
        </w:rPr>
        <w:t>CALL TO ACTION</w:t>
      </w:r>
    </w:p>
    <w:p w:rsidR="00C021B2" w:rsidRPr="00C021B2" w:rsidRDefault="00C021B2" w:rsidP="004F0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Activities with strategic impact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competent authority may impose:</w:t>
      </w:r>
    </w:p>
    <w:p w:rsidR="00C021B2" w:rsidRPr="00C021B2" w:rsidRDefault="00C021B2" w:rsidP="00C02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lastRenderedPageBreak/>
        <w:t>UAE ownership percentages</w:t>
      </w:r>
    </w:p>
    <w:p w:rsidR="00C021B2" w:rsidRPr="00C021B2" w:rsidRDefault="00C021B2" w:rsidP="00C02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Board-composition requirements</w:t>
      </w:r>
    </w:p>
    <w:p w:rsidR="00C021B2" w:rsidRPr="00C021B2" w:rsidRDefault="00C021B2" w:rsidP="00C02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Additional licensing conditions</w:t>
      </w:r>
    </w:p>
    <w:p w:rsidR="00C021B2" w:rsidRPr="00C021B2" w:rsidRDefault="00C021B2" w:rsidP="00C02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Restrictions on foreign participation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official strategic-impact list includes areas such as:</w:t>
      </w:r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Security and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Military activities</w:t>
      </w:r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Exchange houses</w:t>
      </w:r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Currency printing</w:t>
      </w:r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Telecommunications</w:t>
      </w:r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Hajj and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Umrah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services</w:t>
      </w:r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Quran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memorisation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</w:p>
    <w:p w:rsidR="00C021B2" w:rsidRPr="00C021B2" w:rsidRDefault="00C021B2" w:rsidP="00C02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Certain fisheries-related services</w:t>
      </w:r>
    </w:p>
    <w:p w:rsidR="004F0A7F" w:rsidRPr="00B243BE" w:rsidRDefault="00C021B2" w:rsidP="004F0A7F">
      <w:pPr>
        <w:rPr>
          <w:rFonts w:ascii="Arial Black" w:hAnsi="Arial Black"/>
          <w:sz w:val="48"/>
          <w:szCs w:val="48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The applicable regulator determines the precise ownership and licensing conditions. </w:t>
      </w:r>
      <w:r w:rsidR="004F0A7F"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4F0A7F">
        <w:rPr>
          <w:rFonts w:ascii="Times New Roman" w:eastAsia="Times New Roman" w:hAnsi="Times New Roman" w:cs="Times New Roman"/>
          <w:sz w:val="24"/>
          <w:szCs w:val="24"/>
        </w:rPr>
        <w:t>Expert advice on UAE</w:t>
      </w:r>
      <w:r w:rsidR="004F0A7F">
        <w:rPr>
          <w:rFonts w:ascii="Times New Roman" w:eastAsia="Times New Roman" w:hAnsi="Times New Roman" w:cs="Times New Roman"/>
          <w:sz w:val="24"/>
          <w:szCs w:val="24"/>
        </w:rPr>
        <w:t xml:space="preserve"> business set up</w:t>
      </w:r>
      <w:r w:rsidR="004F0A7F">
        <w:rPr>
          <w:rFonts w:ascii="Times New Roman" w:eastAsia="Times New Roman" w:hAnsi="Times New Roman" w:cs="Times New Roman"/>
          <w:sz w:val="24"/>
          <w:szCs w:val="24"/>
        </w:rPr>
        <w:t xml:space="preserve">, reach us on: </w:t>
      </w:r>
      <w:r w:rsidR="004F0A7F"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0A7F" w:rsidRPr="004F0A7F">
        <w:rPr>
          <w:rFonts w:ascii="Arial Black" w:hAnsi="Arial Black"/>
          <w:sz w:val="24"/>
          <w:szCs w:val="24"/>
        </w:rPr>
        <w:t>CALL TO ACTION</w:t>
      </w:r>
    </w:p>
    <w:p w:rsidR="00C021B2" w:rsidRPr="00C021B2" w:rsidRDefault="00C021B2" w:rsidP="004F0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Foreign-company branch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Under the current Commercial Companies Law, a foreign company opening a UAE branch generally does not require a UAE national agent. Sector-specific approvals may still apply.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Free-zone </w:t>
      </w:r>
      <w:proofErr w:type="gramStart"/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company</w:t>
      </w:r>
      <w:proofErr w:type="gramEnd"/>
    </w:p>
    <w:p w:rsidR="004F0A7F" w:rsidRPr="00B243BE" w:rsidRDefault="00C021B2" w:rsidP="004F0A7F">
      <w:pPr>
        <w:rPr>
          <w:rFonts w:ascii="Arial Black" w:hAnsi="Arial Black"/>
          <w:sz w:val="48"/>
          <w:szCs w:val="48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Free zones generally permit up to 100% foreign ownership. The company must follow the particular free zone’s regulations, permitted activities and operating restrictions. </w:t>
      </w:r>
      <w:r w:rsidR="004F0A7F" w:rsidRPr="00C021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4F0A7F">
        <w:rPr>
          <w:rFonts w:ascii="Times New Roman" w:eastAsia="Times New Roman" w:hAnsi="Times New Roman" w:cs="Times New Roman"/>
          <w:sz w:val="24"/>
          <w:szCs w:val="24"/>
        </w:rPr>
        <w:t>Expert advice on UAE</w:t>
      </w:r>
      <w:r w:rsidR="004F0A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F0A7F">
        <w:rPr>
          <w:rFonts w:ascii="Times New Roman" w:eastAsia="Times New Roman" w:hAnsi="Times New Roman" w:cs="Times New Roman"/>
          <w:sz w:val="24"/>
          <w:szCs w:val="24"/>
        </w:rPr>
        <w:t>freezone</w:t>
      </w:r>
      <w:proofErr w:type="spellEnd"/>
      <w:r w:rsidR="004F0A7F">
        <w:rPr>
          <w:rFonts w:ascii="Times New Roman" w:eastAsia="Times New Roman" w:hAnsi="Times New Roman" w:cs="Times New Roman"/>
          <w:sz w:val="24"/>
          <w:szCs w:val="24"/>
        </w:rPr>
        <w:t xml:space="preserve"> company</w:t>
      </w:r>
      <w:proofErr w:type="gramEnd"/>
      <w:r w:rsidR="004F0A7F">
        <w:rPr>
          <w:rFonts w:ascii="Times New Roman" w:eastAsia="Times New Roman" w:hAnsi="Times New Roman" w:cs="Times New Roman"/>
          <w:sz w:val="24"/>
          <w:szCs w:val="24"/>
        </w:rPr>
        <w:t xml:space="preserve">, reach us on: </w:t>
      </w:r>
      <w:r w:rsidR="004F0A7F"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0A7F" w:rsidRPr="004F0A7F">
        <w:rPr>
          <w:rFonts w:ascii="Arial Black" w:hAnsi="Arial Black"/>
          <w:sz w:val="24"/>
          <w:szCs w:val="24"/>
        </w:rPr>
        <w:t>CALL TO ACTION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A free-zone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does not always provide unrestricted authority to conduct business throughout the mainland. A mainland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>, permit, branch, distributor or other arrangement may be required depending on how the company operates.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Regulated professional or sector-specific activity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Some activities require approval from a separate authority, regardless of foreign-ownership rules. Examples include: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Transport and logistics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Healthcare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lastRenderedPageBreak/>
        <w:t>Legal consultancy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Financial services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Telecommunications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Tourism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Food-related activities</w:t>
      </w:r>
    </w:p>
    <w:p w:rsidR="00C021B2" w:rsidRPr="00C021B2" w:rsidRDefault="00C021B2" w:rsidP="00C02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Security services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regulator may impose requirements concerning ownership, managers, qualifications, premises, vehicles, guarantees or insurance.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1B2">
        <w:rPr>
          <w:rFonts w:ascii="Times New Roman" w:eastAsia="Times New Roman" w:hAnsi="Times New Roman" w:cs="Times New Roman"/>
          <w:b/>
          <w:bCs/>
          <w:sz w:val="36"/>
          <w:szCs w:val="36"/>
        </w:rPr>
        <w:t>How the arrangement normally applies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Where a UAE partner or agent is legally required or commercially selected, the process usually involves: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Identifying the exact business activity and legal form.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Confirming whether national participation is required.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Conducting due diligence on the proposed partner or agent.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Agreeing whether the person will be a shareholder, service agent or commercial agent.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Preparing the appropriate constitutional and commercial agreements.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Registering the arrangement where required.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Defining management, banking and signature authority.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Establishing renewal, termination and exit procedures.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Making beneficial-ownership and other regulatory filings.</w:t>
      </w:r>
    </w:p>
    <w:p w:rsidR="00C021B2" w:rsidRPr="00C021B2" w:rsidRDefault="00C021B2" w:rsidP="00C02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Maintaining accurate accounting and corporate records.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1B2">
        <w:rPr>
          <w:rFonts w:ascii="Times New Roman" w:eastAsia="Times New Roman" w:hAnsi="Times New Roman" w:cs="Times New Roman"/>
          <w:b/>
          <w:bCs/>
          <w:sz w:val="36"/>
          <w:szCs w:val="36"/>
        </w:rPr>
        <w:t>Merits of having a genuine local partner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Even where not legally required, a suitable UAE partner can provide commercial advantages.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Local market knowledge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competent partner may understand:</w:t>
      </w:r>
    </w:p>
    <w:p w:rsidR="00C021B2" w:rsidRPr="00C021B2" w:rsidRDefault="00C021B2" w:rsidP="00C02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Customer expectations</w:t>
      </w:r>
    </w:p>
    <w:p w:rsidR="00C021B2" w:rsidRPr="00C021B2" w:rsidRDefault="00C021B2" w:rsidP="00C02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Business culture</w:t>
      </w:r>
    </w:p>
    <w:p w:rsidR="00C021B2" w:rsidRPr="00C021B2" w:rsidRDefault="00C021B2" w:rsidP="00C02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Procurement practices</w:t>
      </w:r>
    </w:p>
    <w:p w:rsidR="00C021B2" w:rsidRPr="00C021B2" w:rsidRDefault="00C021B2" w:rsidP="00C02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Local pricing</w:t>
      </w:r>
    </w:p>
    <w:p w:rsidR="00C021B2" w:rsidRPr="00C021B2" w:rsidRDefault="00C021B2" w:rsidP="00C02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Regulatory procedures</w:t>
      </w:r>
    </w:p>
    <w:p w:rsidR="00C021B2" w:rsidRPr="00C021B2" w:rsidRDefault="00C021B2" w:rsidP="00C02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Arabic-language documentation</w:t>
      </w:r>
    </w:p>
    <w:p w:rsidR="00C021B2" w:rsidRPr="00C021B2" w:rsidRDefault="00C021B2" w:rsidP="00C021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Market-entry risks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 and business development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lastRenderedPageBreak/>
        <w:t>An established partner may introduce the company to legitimate customers, suppliers, landlords, financiers and strategic partners.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This does not guarantee government contracts or regulatory approval, but it can improve commercial understanding and market access.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Regulatory and administrative support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knowledgeable local partner or agent may help the business understand the correct approval process and avoid administrative delays.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Capital and resources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genuine joint-venture partner may contribute:</w:t>
      </w:r>
    </w:p>
    <w:p w:rsidR="00C021B2" w:rsidRPr="00C021B2" w:rsidRDefault="00C021B2" w:rsidP="00C02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Investment capital</w:t>
      </w:r>
    </w:p>
    <w:p w:rsidR="00C021B2" w:rsidRPr="00C021B2" w:rsidRDefault="00C021B2" w:rsidP="00C02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Business premises</w:t>
      </w:r>
    </w:p>
    <w:p w:rsidR="00C021B2" w:rsidRPr="00C021B2" w:rsidRDefault="00C021B2" w:rsidP="00C02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Vehicles or equipment</w:t>
      </w:r>
    </w:p>
    <w:p w:rsidR="00C021B2" w:rsidRPr="00C021B2" w:rsidRDefault="00C021B2" w:rsidP="00C02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Employees</w:t>
      </w:r>
    </w:p>
    <w:p w:rsidR="00C021B2" w:rsidRPr="00C021B2" w:rsidRDefault="00C021B2" w:rsidP="00C02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Distribution networks</w:t>
      </w:r>
    </w:p>
    <w:p w:rsidR="00C021B2" w:rsidRPr="00C021B2" w:rsidRDefault="00C021B2" w:rsidP="00C02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Existing customer relationships</w:t>
      </w:r>
    </w:p>
    <w:p w:rsidR="00C021B2" w:rsidRPr="00C021B2" w:rsidRDefault="00C021B2" w:rsidP="00C021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Sector experience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Qualification for restricted activities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If an activity lawfully requires UAE participation, a properly structured partnership may make the business eligible to obtain the necessary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market credibility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reputable partner who actively participates in the business may increase customer and supplier confidence.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1B2">
        <w:rPr>
          <w:rFonts w:ascii="Times New Roman" w:eastAsia="Times New Roman" w:hAnsi="Times New Roman" w:cs="Times New Roman"/>
          <w:b/>
          <w:bCs/>
          <w:sz w:val="36"/>
          <w:szCs w:val="36"/>
        </w:rPr>
        <w:t>Demerits and risks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Loss of ownership or control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If the UAE partner is registered as a shareholder, that person possesses legal ownership rights corresponding to their shares, subject to the constitutional documents and applicable law.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foreign investor should not assume that private side agreements automatically eliminate those legal rights.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Annual sponsorship or agency fees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lastRenderedPageBreak/>
        <w:t>A service agent may charge:</w:t>
      </w:r>
    </w:p>
    <w:p w:rsidR="00C021B2" w:rsidRPr="00C021B2" w:rsidRDefault="00C021B2" w:rsidP="00C02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fixed annual fee</w:t>
      </w:r>
    </w:p>
    <w:p w:rsidR="00C021B2" w:rsidRPr="00C021B2" w:rsidRDefault="00C021B2" w:rsidP="00C02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Renewal fees</w:t>
      </w:r>
    </w:p>
    <w:p w:rsidR="00C021B2" w:rsidRPr="00C021B2" w:rsidRDefault="00C021B2" w:rsidP="00C02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Transaction charges</w:t>
      </w:r>
    </w:p>
    <w:p w:rsidR="00C021B2" w:rsidRPr="00C021B2" w:rsidRDefault="00C021B2" w:rsidP="00C02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Government-liaison charges</w:t>
      </w:r>
    </w:p>
    <w:p w:rsidR="00C021B2" w:rsidRPr="00C021B2" w:rsidRDefault="00C021B2" w:rsidP="00C021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Additional fees for signing or attending procedures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These charges are normally contractual and are separate from government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fees.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Dependence on one person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If the sponsor’s signature or cooperation is required, disagreements may delay:</w:t>
      </w:r>
    </w:p>
    <w:p w:rsidR="00C021B2" w:rsidRPr="00C021B2" w:rsidRDefault="00C021B2" w:rsidP="00C02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renewal</w:t>
      </w:r>
    </w:p>
    <w:p w:rsidR="00C021B2" w:rsidRPr="00C021B2" w:rsidRDefault="00C021B2" w:rsidP="00C02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Bank procedures</w:t>
      </w:r>
    </w:p>
    <w:p w:rsidR="00C021B2" w:rsidRPr="00C021B2" w:rsidRDefault="00C021B2" w:rsidP="00C02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Amendments</w:t>
      </w:r>
    </w:p>
    <w:p w:rsidR="00C021B2" w:rsidRPr="00C021B2" w:rsidRDefault="00C021B2" w:rsidP="00C02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Sale of the business</w:t>
      </w:r>
    </w:p>
    <w:p w:rsidR="00C021B2" w:rsidRPr="00C021B2" w:rsidRDefault="00C021B2" w:rsidP="00C02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Transfer of shares</w:t>
      </w:r>
    </w:p>
    <w:p w:rsidR="00C021B2" w:rsidRPr="00C021B2" w:rsidRDefault="00C021B2" w:rsidP="00C02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Closure of the company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Profit sharing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genuine equity partner may be entitled to dividends and other economic rights. This reduces the foreign investor’s financial interest compared with 100% ownership.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Management disputes and deadlock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Disagreements may arise regarding:</w:t>
      </w:r>
    </w:p>
    <w:p w:rsidR="00C021B2" w:rsidRPr="00C021B2" w:rsidRDefault="00C021B2" w:rsidP="00C02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Business strategy</w:t>
      </w:r>
    </w:p>
    <w:p w:rsidR="00C021B2" w:rsidRPr="00C021B2" w:rsidRDefault="00C021B2" w:rsidP="00C02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Spending</w:t>
      </w:r>
    </w:p>
    <w:p w:rsidR="00C021B2" w:rsidRPr="00C021B2" w:rsidRDefault="00C021B2" w:rsidP="00C02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Appointment of managers</w:t>
      </w:r>
    </w:p>
    <w:p w:rsidR="00C021B2" w:rsidRPr="00C021B2" w:rsidRDefault="00C021B2" w:rsidP="00C02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Bank authority</w:t>
      </w:r>
    </w:p>
    <w:p w:rsidR="00C021B2" w:rsidRPr="00C021B2" w:rsidRDefault="00C021B2" w:rsidP="00C02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Profit distributions</w:t>
      </w:r>
    </w:p>
    <w:p w:rsidR="00C021B2" w:rsidRPr="00C021B2" w:rsidRDefault="00C021B2" w:rsidP="00C02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New investment</w:t>
      </w:r>
    </w:p>
    <w:p w:rsidR="00C021B2" w:rsidRPr="00C021B2" w:rsidRDefault="00C021B2" w:rsidP="00C02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Borrowing</w:t>
      </w:r>
    </w:p>
    <w:p w:rsidR="00C021B2" w:rsidRPr="00C021B2" w:rsidRDefault="00C021B2" w:rsidP="00C021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Sale or closure of the business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Exit and succession complications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relationship may become difficult if the partner:</w:t>
      </w:r>
    </w:p>
    <w:p w:rsidR="00C021B2" w:rsidRPr="00C021B2" w:rsidRDefault="00C021B2" w:rsidP="00C02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Dies or loses capacity</w:t>
      </w:r>
    </w:p>
    <w:p w:rsidR="00C021B2" w:rsidRPr="00C021B2" w:rsidRDefault="00C021B2" w:rsidP="00C02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Becomes bankrupt</w:t>
      </w:r>
    </w:p>
    <w:p w:rsidR="00C021B2" w:rsidRPr="00C021B2" w:rsidRDefault="00C021B2" w:rsidP="00C02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Is involved in a family or inheritance dispute</w:t>
      </w:r>
    </w:p>
    <w:p w:rsidR="00C021B2" w:rsidRPr="00C021B2" w:rsidRDefault="00C021B2" w:rsidP="00C02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lastRenderedPageBreak/>
        <w:t>Refuses to transfer shares</w:t>
      </w:r>
    </w:p>
    <w:p w:rsidR="00C021B2" w:rsidRPr="00C021B2" w:rsidRDefault="00C021B2" w:rsidP="00C021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Demands substantially higher renewal fees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Nominee and concealment risk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Using a person only to place their name on a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>, while privately concealing the true ownership or control arrangement, can create serious legal and regulatory risk.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All arrangements should reflect the lawful ownership and beneficial-control position. Beneficial-owner information must be reported accurately.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Banking and signature risks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poorly drafted arrangement may give the local partner unnecessary authority over:</w:t>
      </w:r>
    </w:p>
    <w:p w:rsidR="00C021B2" w:rsidRPr="00C021B2" w:rsidRDefault="00C021B2" w:rsidP="00C02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Bank accounts</w:t>
      </w:r>
    </w:p>
    <w:p w:rsidR="00C021B2" w:rsidRPr="00C021B2" w:rsidRDefault="00C021B2" w:rsidP="00C02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Borrowing</w:t>
      </w:r>
    </w:p>
    <w:p w:rsidR="00C021B2" w:rsidRPr="00C021B2" w:rsidRDefault="00C021B2" w:rsidP="00C02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Contracts</w:t>
      </w:r>
    </w:p>
    <w:p w:rsidR="00C021B2" w:rsidRPr="00C021B2" w:rsidRDefault="00C021B2" w:rsidP="00C02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Company assets</w:t>
      </w:r>
    </w:p>
    <w:p w:rsidR="00C021B2" w:rsidRPr="00C021B2" w:rsidRDefault="00C021B2" w:rsidP="00C02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Employee appointments</w:t>
      </w:r>
    </w:p>
    <w:p w:rsidR="00C021B2" w:rsidRPr="00C021B2" w:rsidRDefault="00C021B2" w:rsidP="00C021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Government transactions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1B2">
        <w:rPr>
          <w:rFonts w:ascii="Times New Roman" w:eastAsia="Times New Roman" w:hAnsi="Times New Roman" w:cs="Times New Roman"/>
          <w:b/>
          <w:bCs/>
          <w:sz w:val="27"/>
          <w:szCs w:val="27"/>
        </w:rPr>
        <w:t>No guaranteed commercial value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Some sponsors offer little more than their name. They may not provide customers, approvals or business support despite charging an annual fee.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1B2">
        <w:rPr>
          <w:rFonts w:ascii="Times New Roman" w:eastAsia="Times New Roman" w:hAnsi="Times New Roman" w:cs="Times New Roman"/>
          <w:b/>
          <w:bCs/>
          <w:sz w:val="36"/>
          <w:szCs w:val="36"/>
        </w:rPr>
        <w:t>Essential protections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If a local partner or service agent is used, the documents should clearly cover: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Exact nature of the relationship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Share ownership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Capital contributions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Profit and loss entitlement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Management authority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Bank-signing powers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Reserved decisions requiring joint approval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Annual fees and reimbursable expenses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Scope of government-liaison duties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Confidentiality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Conflicts of interest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Non-compete and non-solicitation obligations where enforceable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Term and renewal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Termination rights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lastRenderedPageBreak/>
        <w:t>Share-transfer arrangements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Death, disability and succession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Dispute-resolution procedure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Handover of company documents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Cancellation of powers of attorney</w:t>
      </w:r>
    </w:p>
    <w:p w:rsidR="00C021B2" w:rsidRPr="00C021B2" w:rsidRDefault="00C021B2" w:rsidP="00C021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Responsibility for fines or </w:t>
      </w:r>
      <w:proofErr w:type="spellStart"/>
      <w:r w:rsidRPr="00C021B2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acts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Do not provide unrestricted powers of attorney merely for convenience. Powers should be specific, limited and revocable where legally possible.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1B2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conclusion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For most investors today, the preferred starting point is:</w:t>
      </w:r>
    </w:p>
    <w:p w:rsidR="00C021B2" w:rsidRPr="00C021B2" w:rsidRDefault="00C021B2" w:rsidP="00C02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b/>
          <w:bCs/>
          <w:sz w:val="24"/>
          <w:szCs w:val="24"/>
        </w:rPr>
        <w:t>100% foreign-owned mainland company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where permitted; or</w:t>
      </w:r>
    </w:p>
    <w:p w:rsidR="00C021B2" w:rsidRPr="00C021B2" w:rsidRDefault="00C021B2" w:rsidP="00C021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b/>
          <w:bCs/>
          <w:sz w:val="24"/>
          <w:szCs w:val="24"/>
        </w:rPr>
        <w:t>100% foreign-owned free-zone company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gramStart"/>
      <w:r w:rsidRPr="00C021B2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gramEnd"/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operating model is suitable.</w:t>
      </w:r>
    </w:p>
    <w:p w:rsidR="00C021B2" w:rsidRPr="00C021B2" w:rsidRDefault="00C021B2" w:rsidP="00C0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A local partner should be appointed only when:</w:t>
      </w:r>
    </w:p>
    <w:p w:rsidR="00C021B2" w:rsidRPr="00C021B2" w:rsidRDefault="00C021B2" w:rsidP="00C02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law or regulator requires one;</w:t>
      </w:r>
    </w:p>
    <w:p w:rsidR="00C021B2" w:rsidRPr="00C021B2" w:rsidRDefault="00C021B2" w:rsidP="00C02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activity is restricted;</w:t>
      </w:r>
    </w:p>
    <w:p w:rsidR="00C021B2" w:rsidRPr="00C021B2" w:rsidRDefault="00C021B2" w:rsidP="00C02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partner contributes measurable commercial value; or</w:t>
      </w:r>
    </w:p>
    <w:p w:rsidR="00C021B2" w:rsidRPr="00C021B2" w:rsidRDefault="00C021B2" w:rsidP="00C02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>The parties genuinely intend to operate a joint venture.</w:t>
      </w:r>
    </w:p>
    <w:p w:rsidR="004F0A7F" w:rsidRPr="00B243BE" w:rsidRDefault="00C021B2" w:rsidP="004F0A7F">
      <w:pPr>
        <w:rPr>
          <w:rFonts w:ascii="Arial Black" w:hAnsi="Arial Black"/>
          <w:sz w:val="48"/>
          <w:szCs w:val="48"/>
        </w:rPr>
      </w:pP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Before paying any “sponsorship fee,” obtain written confirmation from the relevant licensing authority that sponsorship is actually required. For </w:t>
      </w:r>
      <w:r w:rsidR="004F0A7F">
        <w:rPr>
          <w:rFonts w:ascii="Times New Roman" w:eastAsia="Times New Roman" w:hAnsi="Times New Roman" w:cs="Times New Roman"/>
          <w:sz w:val="24"/>
          <w:szCs w:val="24"/>
        </w:rPr>
        <w:t xml:space="preserve">Expert advice on UAE mainland businesses, reach us on: </w:t>
      </w:r>
      <w:r w:rsidRPr="00C02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0A7F" w:rsidRPr="004F0A7F">
        <w:rPr>
          <w:rFonts w:ascii="Arial Black" w:hAnsi="Arial Black"/>
          <w:sz w:val="24"/>
          <w:szCs w:val="24"/>
        </w:rPr>
        <w:t>CALL TO ACTION</w:t>
      </w:r>
    </w:p>
    <w:p w:rsidR="00845029" w:rsidRDefault="00845029"/>
    <w:sectPr w:rsidR="00845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7FEB"/>
    <w:multiLevelType w:val="multilevel"/>
    <w:tmpl w:val="62D0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ACD"/>
    <w:multiLevelType w:val="multilevel"/>
    <w:tmpl w:val="DC3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6112B"/>
    <w:multiLevelType w:val="multilevel"/>
    <w:tmpl w:val="9EF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C163B"/>
    <w:multiLevelType w:val="multilevel"/>
    <w:tmpl w:val="0CD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2412C"/>
    <w:multiLevelType w:val="multilevel"/>
    <w:tmpl w:val="EFD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B1AC5"/>
    <w:multiLevelType w:val="multilevel"/>
    <w:tmpl w:val="796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95C74"/>
    <w:multiLevelType w:val="multilevel"/>
    <w:tmpl w:val="0C5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93D4B"/>
    <w:multiLevelType w:val="multilevel"/>
    <w:tmpl w:val="397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062ED"/>
    <w:multiLevelType w:val="multilevel"/>
    <w:tmpl w:val="D30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80AC0"/>
    <w:multiLevelType w:val="multilevel"/>
    <w:tmpl w:val="32AC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D720A"/>
    <w:multiLevelType w:val="multilevel"/>
    <w:tmpl w:val="618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42074"/>
    <w:multiLevelType w:val="multilevel"/>
    <w:tmpl w:val="51E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64552"/>
    <w:multiLevelType w:val="multilevel"/>
    <w:tmpl w:val="5F76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322CF"/>
    <w:multiLevelType w:val="multilevel"/>
    <w:tmpl w:val="4EBC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3472F"/>
    <w:multiLevelType w:val="multilevel"/>
    <w:tmpl w:val="3C2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864D7"/>
    <w:multiLevelType w:val="multilevel"/>
    <w:tmpl w:val="CD7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3749C"/>
    <w:multiLevelType w:val="multilevel"/>
    <w:tmpl w:val="C50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16106"/>
    <w:multiLevelType w:val="multilevel"/>
    <w:tmpl w:val="E81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512FA"/>
    <w:multiLevelType w:val="multilevel"/>
    <w:tmpl w:val="7080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15"/>
  </w:num>
  <w:num w:numId="7">
    <w:abstractNumId w:val="8"/>
  </w:num>
  <w:num w:numId="8">
    <w:abstractNumId w:val="0"/>
  </w:num>
  <w:num w:numId="9">
    <w:abstractNumId w:val="3"/>
  </w:num>
  <w:num w:numId="10">
    <w:abstractNumId w:val="16"/>
  </w:num>
  <w:num w:numId="11">
    <w:abstractNumId w:val="14"/>
  </w:num>
  <w:num w:numId="12">
    <w:abstractNumId w:val="9"/>
  </w:num>
  <w:num w:numId="13">
    <w:abstractNumId w:val="11"/>
  </w:num>
  <w:num w:numId="14">
    <w:abstractNumId w:val="6"/>
  </w:num>
  <w:num w:numId="15">
    <w:abstractNumId w:val="13"/>
  </w:num>
  <w:num w:numId="16">
    <w:abstractNumId w:val="12"/>
  </w:num>
  <w:num w:numId="17">
    <w:abstractNumId w:val="18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1B2"/>
    <w:rsid w:val="00251A52"/>
    <w:rsid w:val="004F0A7F"/>
    <w:rsid w:val="00845029"/>
    <w:rsid w:val="00C0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CBB6"/>
  <w15:chartTrackingRefBased/>
  <w15:docId w15:val="{B2D0B289-4CF0-4F45-A17F-018F824F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48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1592</Words>
  <Characters>9076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2026-08-26T17:46:00Z</dcterms:created>
  <dcterms:modified xsi:type="dcterms:W3CDTF">2026-08-26T18:12:00Z</dcterms:modified>
</cp:coreProperties>
</file>