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Regional security studies examine how border disputes, resource competition, and ethnic tension interact to threaten stability across neighbouring states</w:t>
      </w:r>
    </w:p>
    <w:p>
      <w:r>
        <w:t>A staff college graduate should be able to brief a regional threat assessment with appropriate nuance</w:t>
      </w:r>
    </w:p>
    <w:p>
      <w:r>
        <w:t>Oversimplified narratives rarely survive contact with the actual complexity on the 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