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Negotiation and mediation skills are increasingly essential for officers operating in complex, multi-actor environments alongside civilian authorities</w:t>
      </w:r>
    </w:p>
    <w:p>
      <w:r>
        <w:t>Active listening often reveals underlying interests that a purely positional negotiating stance would never surface</w:t>
      </w:r>
    </w:p>
    <w:p>
      <w:r>
        <w:t>Building long-term trust matters more than winning any single exchange.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