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International humanitarian law places clear obligations on commanders regarding the treatment of civilians and captured personnel during active operations</w:t>
      </w:r>
    </w:p>
    <w:p>
      <w:r>
        <w:t>Ignorance of these obligations is never an acceptable defence before a military tribunal</w:t>
      </w:r>
    </w:p>
    <w:p>
      <w:r>
        <w:t>Every officer bears personal responsibility for the conduct of soldiers under their direct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