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Strategic studies examine how national interests, economic capacity, and alliance structures shape a country's long-term security posture</w:t>
      </w:r>
    </w:p>
    <w:p>
      <w:r>
        <w:t>A staff officer who understands the strategic level can better translate national objectives into coherent operational plans</w:t>
      </w:r>
    </w:p>
    <w:p>
      <w:r>
        <w:t>Regional security cannot be assessed in isolation from wider global power dynamics.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