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69C2A20F" w:rsidR="001E566F" w:rsidRPr="00B64F36" w:rsidRDefault="0095478E" w:rsidP="00DE3F3E">
            <w:pPr>
              <w:spacing w:after="0"/>
              <w:jc w:val="center"/>
              <w:rPr>
                <w:rFonts w:asciiTheme="minorHAnsi" w:hAnsiTheme="minorHAnsi" w:cstheme="minorHAnsi"/>
                <w:b/>
                <w:color w:val="000000" w:themeColor="text1"/>
                <w:sz w:val="44"/>
                <w:szCs w:val="44"/>
                <w:lang w:eastAsia="en-GB"/>
              </w:rPr>
            </w:pPr>
            <w:r w:rsidRPr="0095478E">
              <w:rPr>
                <w:rFonts w:asciiTheme="minorHAnsi" w:hAnsiTheme="minorHAnsi" w:cstheme="minorHAnsi"/>
                <w:b/>
                <w:color w:val="000000" w:themeColor="text1"/>
                <w:sz w:val="44"/>
                <w:szCs w:val="44"/>
                <w:lang w:eastAsia="en-GB"/>
              </w:rPr>
              <w:t>NWC OT Cybersecurity Access Control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6AD017B3"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0E618A">
              <w:rPr>
                <w:rFonts w:cs="Calibri"/>
                <w:bCs/>
                <w:color w:val="000000" w:themeColor="text1"/>
                <w:lang w:eastAsia="en-GB"/>
              </w:rPr>
              <w:t>AC</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12959172" w:rsidR="001E566F" w:rsidRPr="00FF72BD" w:rsidRDefault="0095478E"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0E618A">
      <w:pPr>
        <w:jc w:val="center"/>
      </w:pPr>
    </w:p>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24FA27E0" w:rsidR="00B8771E" w:rsidRPr="00B35328" w:rsidRDefault="00B8771E" w:rsidP="00543A57">
            <w:pPr>
              <w:jc w:val="center"/>
              <w:rPr>
                <w:rFonts w:cs="Calibri"/>
              </w:rPr>
            </w:pPr>
            <w:r>
              <w:rPr>
                <w:rFonts w:cs="Calibri"/>
              </w:rPr>
              <w:t xml:space="preserve">August </w:t>
            </w:r>
            <w:r w:rsidR="000B4DE1">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79398292" w14:textId="6CC2D9F9" w:rsidR="0095478E"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3995" w:history="1">
            <w:r w:rsidR="0095478E" w:rsidRPr="00781FB3">
              <w:rPr>
                <w:rStyle w:val="Hyperlink"/>
                <w:rFonts w:eastAsiaTheme="majorEastAsia"/>
                <w:noProof/>
                <w14:scene3d>
                  <w14:camera w14:prst="orthographicFront"/>
                  <w14:lightRig w14:rig="threePt" w14:dir="t">
                    <w14:rot w14:lat="0" w14:lon="0" w14:rev="0"/>
                  </w14:lightRig>
                </w14:scene3d>
              </w:rPr>
              <w:t>1.</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Access Control</w:t>
            </w:r>
            <w:r w:rsidR="0095478E">
              <w:rPr>
                <w:noProof/>
                <w:webHidden/>
              </w:rPr>
              <w:tab/>
            </w:r>
            <w:r w:rsidR="0095478E">
              <w:rPr>
                <w:noProof/>
                <w:webHidden/>
              </w:rPr>
              <w:fldChar w:fldCharType="begin"/>
            </w:r>
            <w:r w:rsidR="0095478E">
              <w:rPr>
                <w:noProof/>
                <w:webHidden/>
              </w:rPr>
              <w:instrText xml:space="preserve"> PAGEREF _Toc80533995 \h </w:instrText>
            </w:r>
            <w:r w:rsidR="0095478E">
              <w:rPr>
                <w:noProof/>
                <w:webHidden/>
              </w:rPr>
            </w:r>
            <w:r w:rsidR="0095478E">
              <w:rPr>
                <w:noProof/>
                <w:webHidden/>
              </w:rPr>
              <w:fldChar w:fldCharType="separate"/>
            </w:r>
            <w:r w:rsidR="0095478E">
              <w:rPr>
                <w:noProof/>
                <w:webHidden/>
              </w:rPr>
              <w:t>11</w:t>
            </w:r>
            <w:r w:rsidR="0095478E">
              <w:rPr>
                <w:noProof/>
                <w:webHidden/>
              </w:rPr>
              <w:fldChar w:fldCharType="end"/>
            </w:r>
          </w:hyperlink>
        </w:p>
        <w:p w14:paraId="2E5326A2" w14:textId="20C5CE0D" w:rsidR="0095478E" w:rsidRDefault="00E539A2">
          <w:pPr>
            <w:pStyle w:val="TOC2"/>
            <w:tabs>
              <w:tab w:val="left" w:pos="880"/>
              <w:tab w:val="right" w:leader="dot" w:pos="9523"/>
            </w:tabs>
            <w:rPr>
              <w:rFonts w:asciiTheme="minorHAnsi" w:eastAsiaTheme="minorEastAsia" w:hAnsiTheme="minorHAnsi" w:cstheme="minorBidi"/>
              <w:noProof/>
              <w:sz w:val="22"/>
              <w:szCs w:val="22"/>
            </w:rPr>
          </w:pPr>
          <w:hyperlink w:anchor="_Toc80533996" w:history="1">
            <w:r w:rsidR="0095478E" w:rsidRPr="00781FB3">
              <w:rPr>
                <w:rStyle w:val="Hyperlink"/>
                <w:rFonts w:eastAsiaTheme="majorEastAsia"/>
                <w:noProof/>
              </w:rPr>
              <w:t>1.1</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Purpose</w:t>
            </w:r>
            <w:r w:rsidR="0095478E">
              <w:rPr>
                <w:noProof/>
                <w:webHidden/>
              </w:rPr>
              <w:tab/>
            </w:r>
            <w:r w:rsidR="0095478E">
              <w:rPr>
                <w:noProof/>
                <w:webHidden/>
              </w:rPr>
              <w:fldChar w:fldCharType="begin"/>
            </w:r>
            <w:r w:rsidR="0095478E">
              <w:rPr>
                <w:noProof/>
                <w:webHidden/>
              </w:rPr>
              <w:instrText xml:space="preserve"> PAGEREF _Toc80533996 \h </w:instrText>
            </w:r>
            <w:r w:rsidR="0095478E">
              <w:rPr>
                <w:noProof/>
                <w:webHidden/>
              </w:rPr>
            </w:r>
            <w:r w:rsidR="0095478E">
              <w:rPr>
                <w:noProof/>
                <w:webHidden/>
              </w:rPr>
              <w:fldChar w:fldCharType="separate"/>
            </w:r>
            <w:r w:rsidR="0095478E">
              <w:rPr>
                <w:noProof/>
                <w:webHidden/>
              </w:rPr>
              <w:t>11</w:t>
            </w:r>
            <w:r w:rsidR="0095478E">
              <w:rPr>
                <w:noProof/>
                <w:webHidden/>
              </w:rPr>
              <w:fldChar w:fldCharType="end"/>
            </w:r>
          </w:hyperlink>
        </w:p>
        <w:p w14:paraId="46FDD79D" w14:textId="5AA0F4C7" w:rsidR="0095478E" w:rsidRDefault="00E539A2">
          <w:pPr>
            <w:pStyle w:val="TOC2"/>
            <w:tabs>
              <w:tab w:val="left" w:pos="880"/>
              <w:tab w:val="right" w:leader="dot" w:pos="9523"/>
            </w:tabs>
            <w:rPr>
              <w:rFonts w:asciiTheme="minorHAnsi" w:eastAsiaTheme="minorEastAsia" w:hAnsiTheme="minorHAnsi" w:cstheme="minorBidi"/>
              <w:noProof/>
              <w:sz w:val="22"/>
              <w:szCs w:val="22"/>
            </w:rPr>
          </w:pPr>
          <w:hyperlink w:anchor="_Toc80533997" w:history="1">
            <w:r w:rsidR="0095478E" w:rsidRPr="00781FB3">
              <w:rPr>
                <w:rStyle w:val="Hyperlink"/>
                <w:rFonts w:eastAsiaTheme="majorEastAsia"/>
                <w:noProof/>
              </w:rPr>
              <w:t>1.2</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Scope and Applicability</w:t>
            </w:r>
            <w:r w:rsidR="0095478E">
              <w:rPr>
                <w:noProof/>
                <w:webHidden/>
              </w:rPr>
              <w:tab/>
            </w:r>
            <w:r w:rsidR="0095478E">
              <w:rPr>
                <w:noProof/>
                <w:webHidden/>
              </w:rPr>
              <w:fldChar w:fldCharType="begin"/>
            </w:r>
            <w:r w:rsidR="0095478E">
              <w:rPr>
                <w:noProof/>
                <w:webHidden/>
              </w:rPr>
              <w:instrText xml:space="preserve"> PAGEREF _Toc80533997 \h </w:instrText>
            </w:r>
            <w:r w:rsidR="0095478E">
              <w:rPr>
                <w:noProof/>
                <w:webHidden/>
              </w:rPr>
            </w:r>
            <w:r w:rsidR="0095478E">
              <w:rPr>
                <w:noProof/>
                <w:webHidden/>
              </w:rPr>
              <w:fldChar w:fldCharType="separate"/>
            </w:r>
            <w:r w:rsidR="0095478E">
              <w:rPr>
                <w:noProof/>
                <w:webHidden/>
              </w:rPr>
              <w:t>11</w:t>
            </w:r>
            <w:r w:rsidR="0095478E">
              <w:rPr>
                <w:noProof/>
                <w:webHidden/>
              </w:rPr>
              <w:fldChar w:fldCharType="end"/>
            </w:r>
          </w:hyperlink>
        </w:p>
        <w:p w14:paraId="134575CF" w14:textId="7DB9384E" w:rsidR="0095478E" w:rsidRDefault="00E539A2">
          <w:pPr>
            <w:pStyle w:val="TOC2"/>
            <w:tabs>
              <w:tab w:val="left" w:pos="880"/>
              <w:tab w:val="right" w:leader="dot" w:pos="9523"/>
            </w:tabs>
            <w:rPr>
              <w:rFonts w:asciiTheme="minorHAnsi" w:eastAsiaTheme="minorEastAsia" w:hAnsiTheme="minorHAnsi" w:cstheme="minorBidi"/>
              <w:noProof/>
              <w:sz w:val="22"/>
              <w:szCs w:val="22"/>
            </w:rPr>
          </w:pPr>
          <w:hyperlink w:anchor="_Toc80533998" w:history="1">
            <w:r w:rsidR="0095478E" w:rsidRPr="00781FB3">
              <w:rPr>
                <w:rStyle w:val="Hyperlink"/>
                <w:rFonts w:eastAsiaTheme="majorEastAsia"/>
                <w:noProof/>
              </w:rPr>
              <w:t>1.3</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Guidance</w:t>
            </w:r>
            <w:r w:rsidR="0095478E">
              <w:rPr>
                <w:noProof/>
                <w:webHidden/>
              </w:rPr>
              <w:tab/>
            </w:r>
            <w:r w:rsidR="0095478E">
              <w:rPr>
                <w:noProof/>
                <w:webHidden/>
              </w:rPr>
              <w:fldChar w:fldCharType="begin"/>
            </w:r>
            <w:r w:rsidR="0095478E">
              <w:rPr>
                <w:noProof/>
                <w:webHidden/>
              </w:rPr>
              <w:instrText xml:space="preserve"> PAGEREF _Toc80533998 \h </w:instrText>
            </w:r>
            <w:r w:rsidR="0095478E">
              <w:rPr>
                <w:noProof/>
                <w:webHidden/>
              </w:rPr>
            </w:r>
            <w:r w:rsidR="0095478E">
              <w:rPr>
                <w:noProof/>
                <w:webHidden/>
              </w:rPr>
              <w:fldChar w:fldCharType="separate"/>
            </w:r>
            <w:r w:rsidR="0095478E">
              <w:rPr>
                <w:noProof/>
                <w:webHidden/>
              </w:rPr>
              <w:t>11</w:t>
            </w:r>
            <w:r w:rsidR="0095478E">
              <w:rPr>
                <w:noProof/>
                <w:webHidden/>
              </w:rPr>
              <w:fldChar w:fldCharType="end"/>
            </w:r>
          </w:hyperlink>
        </w:p>
        <w:p w14:paraId="6AC53C85" w14:textId="000B5A8A" w:rsidR="0095478E" w:rsidRDefault="00E539A2">
          <w:pPr>
            <w:pStyle w:val="TOC2"/>
            <w:tabs>
              <w:tab w:val="left" w:pos="880"/>
              <w:tab w:val="right" w:leader="dot" w:pos="9523"/>
            </w:tabs>
            <w:rPr>
              <w:rFonts w:asciiTheme="minorHAnsi" w:eastAsiaTheme="minorEastAsia" w:hAnsiTheme="minorHAnsi" w:cstheme="minorBidi"/>
              <w:noProof/>
              <w:sz w:val="22"/>
              <w:szCs w:val="22"/>
            </w:rPr>
          </w:pPr>
          <w:hyperlink w:anchor="_Toc80533999" w:history="1">
            <w:r w:rsidR="0095478E" w:rsidRPr="00781FB3">
              <w:rPr>
                <w:rStyle w:val="Hyperlink"/>
                <w:rFonts w:eastAsiaTheme="majorEastAsia"/>
                <w:noProof/>
              </w:rPr>
              <w:t>1.4</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Terminology</w:t>
            </w:r>
            <w:r w:rsidR="0095478E">
              <w:rPr>
                <w:noProof/>
                <w:webHidden/>
              </w:rPr>
              <w:tab/>
            </w:r>
            <w:r w:rsidR="0095478E">
              <w:rPr>
                <w:noProof/>
                <w:webHidden/>
              </w:rPr>
              <w:fldChar w:fldCharType="begin"/>
            </w:r>
            <w:r w:rsidR="0095478E">
              <w:rPr>
                <w:noProof/>
                <w:webHidden/>
              </w:rPr>
              <w:instrText xml:space="preserve"> PAGEREF _Toc80533999 \h </w:instrText>
            </w:r>
            <w:r w:rsidR="0095478E">
              <w:rPr>
                <w:noProof/>
                <w:webHidden/>
              </w:rPr>
            </w:r>
            <w:r w:rsidR="0095478E">
              <w:rPr>
                <w:noProof/>
                <w:webHidden/>
              </w:rPr>
              <w:fldChar w:fldCharType="separate"/>
            </w:r>
            <w:r w:rsidR="0095478E">
              <w:rPr>
                <w:noProof/>
                <w:webHidden/>
              </w:rPr>
              <w:t>11</w:t>
            </w:r>
            <w:r w:rsidR="0095478E">
              <w:rPr>
                <w:noProof/>
                <w:webHidden/>
              </w:rPr>
              <w:fldChar w:fldCharType="end"/>
            </w:r>
          </w:hyperlink>
        </w:p>
        <w:p w14:paraId="2BAFAE9B" w14:textId="6597BE9F" w:rsidR="0095478E" w:rsidRDefault="00E539A2">
          <w:pPr>
            <w:pStyle w:val="TOC2"/>
            <w:tabs>
              <w:tab w:val="left" w:pos="880"/>
              <w:tab w:val="right" w:leader="dot" w:pos="9523"/>
            </w:tabs>
            <w:rPr>
              <w:rFonts w:asciiTheme="minorHAnsi" w:eastAsiaTheme="minorEastAsia" w:hAnsiTheme="minorHAnsi" w:cstheme="minorBidi"/>
              <w:noProof/>
              <w:sz w:val="22"/>
              <w:szCs w:val="22"/>
            </w:rPr>
          </w:pPr>
          <w:hyperlink w:anchor="_Toc80534000" w:history="1">
            <w:r w:rsidR="0095478E" w:rsidRPr="00781FB3">
              <w:rPr>
                <w:rStyle w:val="Hyperlink"/>
                <w:rFonts w:eastAsiaTheme="majorEastAsia"/>
                <w:noProof/>
              </w:rPr>
              <w:t>1.5</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Policy</w:t>
            </w:r>
            <w:r w:rsidR="0095478E">
              <w:rPr>
                <w:noProof/>
                <w:webHidden/>
              </w:rPr>
              <w:tab/>
            </w:r>
            <w:r w:rsidR="0095478E">
              <w:rPr>
                <w:noProof/>
                <w:webHidden/>
              </w:rPr>
              <w:fldChar w:fldCharType="begin"/>
            </w:r>
            <w:r w:rsidR="0095478E">
              <w:rPr>
                <w:noProof/>
                <w:webHidden/>
              </w:rPr>
              <w:instrText xml:space="preserve"> PAGEREF _Toc80534000 \h </w:instrText>
            </w:r>
            <w:r w:rsidR="0095478E">
              <w:rPr>
                <w:noProof/>
                <w:webHidden/>
              </w:rPr>
            </w:r>
            <w:r w:rsidR="0095478E">
              <w:rPr>
                <w:noProof/>
                <w:webHidden/>
              </w:rPr>
              <w:fldChar w:fldCharType="separate"/>
            </w:r>
            <w:r w:rsidR="0095478E">
              <w:rPr>
                <w:noProof/>
                <w:webHidden/>
              </w:rPr>
              <w:t>11</w:t>
            </w:r>
            <w:r w:rsidR="0095478E">
              <w:rPr>
                <w:noProof/>
                <w:webHidden/>
              </w:rPr>
              <w:fldChar w:fldCharType="end"/>
            </w:r>
          </w:hyperlink>
        </w:p>
        <w:p w14:paraId="0DCA468E" w14:textId="60705C97" w:rsidR="0095478E" w:rsidRDefault="00E539A2">
          <w:pPr>
            <w:pStyle w:val="TOC1"/>
            <w:rPr>
              <w:rFonts w:asciiTheme="minorHAnsi" w:eastAsiaTheme="minorEastAsia" w:hAnsiTheme="minorHAnsi" w:cstheme="minorBidi"/>
              <w:noProof/>
              <w:sz w:val="22"/>
              <w:szCs w:val="22"/>
            </w:rPr>
          </w:pPr>
          <w:hyperlink w:anchor="_Toc80534001" w:history="1">
            <w:r w:rsidR="0095478E" w:rsidRPr="00781FB3">
              <w:rPr>
                <w:rStyle w:val="Hyperlink"/>
                <w:rFonts w:eastAsiaTheme="majorEastAsia"/>
                <w:noProof/>
                <w14:scene3d>
                  <w14:camera w14:prst="orthographicFront"/>
                  <w14:lightRig w14:rig="threePt" w14:dir="t">
                    <w14:rot w14:lat="0" w14:lon="0" w14:rev="0"/>
                  </w14:lightRig>
                </w14:scene3d>
              </w:rPr>
              <w:t>2.</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Compliance</w:t>
            </w:r>
            <w:r w:rsidR="0095478E">
              <w:rPr>
                <w:noProof/>
                <w:webHidden/>
              </w:rPr>
              <w:tab/>
            </w:r>
            <w:r w:rsidR="0095478E">
              <w:rPr>
                <w:noProof/>
                <w:webHidden/>
              </w:rPr>
              <w:fldChar w:fldCharType="begin"/>
            </w:r>
            <w:r w:rsidR="0095478E">
              <w:rPr>
                <w:noProof/>
                <w:webHidden/>
              </w:rPr>
              <w:instrText xml:space="preserve"> PAGEREF _Toc80534001 \h </w:instrText>
            </w:r>
            <w:r w:rsidR="0095478E">
              <w:rPr>
                <w:noProof/>
                <w:webHidden/>
              </w:rPr>
            </w:r>
            <w:r w:rsidR="0095478E">
              <w:rPr>
                <w:noProof/>
                <w:webHidden/>
              </w:rPr>
              <w:fldChar w:fldCharType="separate"/>
            </w:r>
            <w:r w:rsidR="0095478E">
              <w:rPr>
                <w:noProof/>
                <w:webHidden/>
              </w:rPr>
              <w:t>14</w:t>
            </w:r>
            <w:r w:rsidR="0095478E">
              <w:rPr>
                <w:noProof/>
                <w:webHidden/>
              </w:rPr>
              <w:fldChar w:fldCharType="end"/>
            </w:r>
          </w:hyperlink>
        </w:p>
        <w:p w14:paraId="24016BB0" w14:textId="0EAB8214" w:rsidR="0095478E" w:rsidRDefault="00E539A2">
          <w:pPr>
            <w:pStyle w:val="TOC1"/>
            <w:rPr>
              <w:rFonts w:asciiTheme="minorHAnsi" w:eastAsiaTheme="minorEastAsia" w:hAnsiTheme="minorHAnsi" w:cstheme="minorBidi"/>
              <w:noProof/>
              <w:sz w:val="22"/>
              <w:szCs w:val="22"/>
            </w:rPr>
          </w:pPr>
          <w:hyperlink w:anchor="_Toc80534002" w:history="1">
            <w:r w:rsidR="0095478E" w:rsidRPr="00781FB3">
              <w:rPr>
                <w:rStyle w:val="Hyperlink"/>
                <w:rFonts w:eastAsiaTheme="majorEastAsia"/>
                <w:noProof/>
                <w14:scene3d>
                  <w14:camera w14:prst="orthographicFront"/>
                  <w14:lightRig w14:rig="threePt" w14:dir="t">
                    <w14:rot w14:lat="0" w14:lon="0" w14:rev="0"/>
                  </w14:lightRig>
                </w14:scene3d>
              </w:rPr>
              <w:t>3.</w:t>
            </w:r>
            <w:r w:rsidR="0095478E">
              <w:rPr>
                <w:rFonts w:asciiTheme="minorHAnsi" w:eastAsiaTheme="minorEastAsia" w:hAnsiTheme="minorHAnsi" w:cstheme="minorBidi"/>
                <w:noProof/>
                <w:sz w:val="22"/>
                <w:szCs w:val="22"/>
              </w:rPr>
              <w:tab/>
            </w:r>
            <w:r w:rsidR="0095478E" w:rsidRPr="00781FB3">
              <w:rPr>
                <w:rStyle w:val="Hyperlink"/>
                <w:rFonts w:eastAsiaTheme="majorEastAsia"/>
                <w:noProof/>
              </w:rPr>
              <w:t>Exception Criteria</w:t>
            </w:r>
            <w:r w:rsidR="0095478E">
              <w:rPr>
                <w:noProof/>
                <w:webHidden/>
              </w:rPr>
              <w:tab/>
            </w:r>
            <w:r w:rsidR="0095478E">
              <w:rPr>
                <w:noProof/>
                <w:webHidden/>
              </w:rPr>
              <w:fldChar w:fldCharType="begin"/>
            </w:r>
            <w:r w:rsidR="0095478E">
              <w:rPr>
                <w:noProof/>
                <w:webHidden/>
              </w:rPr>
              <w:instrText xml:space="preserve"> PAGEREF _Toc80534002 \h </w:instrText>
            </w:r>
            <w:r w:rsidR="0095478E">
              <w:rPr>
                <w:noProof/>
                <w:webHidden/>
              </w:rPr>
            </w:r>
            <w:r w:rsidR="0095478E">
              <w:rPr>
                <w:noProof/>
                <w:webHidden/>
              </w:rPr>
              <w:fldChar w:fldCharType="separate"/>
            </w:r>
            <w:r w:rsidR="0095478E">
              <w:rPr>
                <w:noProof/>
                <w:webHidden/>
              </w:rPr>
              <w:t>14</w:t>
            </w:r>
            <w:r w:rsidR="0095478E">
              <w:rPr>
                <w:noProof/>
                <w:webHidden/>
              </w:rPr>
              <w:fldChar w:fldCharType="end"/>
            </w:r>
          </w:hyperlink>
        </w:p>
        <w:p w14:paraId="58B414E3" w14:textId="658CF7F5"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06901157" w:rsidR="009E6E47" w:rsidRPr="009E6E47" w:rsidRDefault="009F7A56" w:rsidP="009E6E47">
            <w:pPr>
              <w:spacing w:before="0" w:after="160" w:line="259" w:lineRule="auto"/>
              <w:jc w:val="left"/>
            </w:pPr>
            <w:r w:rsidRPr="009F7A56">
              <w:t xml:space="preserve">Ability to make use of any </w:t>
            </w:r>
            <w:r w:rsidR="000725D9">
              <w:t>a</w:t>
            </w:r>
            <w:r w:rsidR="003309DD">
              <w:t xml:space="preserve">sset </w:t>
            </w:r>
            <w:r w:rsidR="000725D9">
              <w:t>or its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033FC09C" w:rsidR="009E6E47" w:rsidRPr="009E6E47" w:rsidRDefault="00B30F1E" w:rsidP="009E6E47">
            <w:pPr>
              <w:spacing w:before="0" w:after="160" w:line="259" w:lineRule="auto"/>
              <w:jc w:val="left"/>
            </w:pPr>
            <w:r w:rsidRPr="00B30F1E">
              <w:t xml:space="preserve">A software program hosted by an </w:t>
            </w:r>
            <w:r w:rsidR="000725D9">
              <w:t>asset/system</w:t>
            </w:r>
            <w:r w:rsidRPr="00B30F1E">
              <w:t>.</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2838D1EB" w:rsidR="009E6E47" w:rsidRPr="009E6E47" w:rsidRDefault="009E6E47" w:rsidP="009E6E47">
            <w:pPr>
              <w:spacing w:before="0" w:after="160" w:line="259" w:lineRule="auto"/>
              <w:jc w:val="left"/>
            </w:pPr>
            <w:r w:rsidRPr="009E6E47">
              <w:t xml:space="preserve">Ensuring that a Standard or set of Guidelines is followed. A means of conforming to a rule, such as a specification, </w:t>
            </w:r>
            <w:r w:rsidR="00C96DC4">
              <w:t>P</w:t>
            </w:r>
            <w:r w:rsidRPr="009E6E47">
              <w:t>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14140E21" w:rsidR="009E6E47" w:rsidRPr="009E6E47" w:rsidRDefault="009E6E47" w:rsidP="009E6E47">
            <w:pPr>
              <w:spacing w:before="0" w:after="160" w:line="259" w:lineRule="auto"/>
              <w:jc w:val="left"/>
            </w:pPr>
            <w:r w:rsidRPr="009E6E47">
              <w:t xml:space="preserve">The owner will be the head of the department/area/activity/business unit that is responsible for developing and implementing the </w:t>
            </w:r>
            <w:r w:rsidR="00C96DC4">
              <w:t>P</w:t>
            </w:r>
            <w:r w:rsidRPr="009E6E47">
              <w:t>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42983C93" w14:textId="1A79C9B2" w:rsidR="00610ADD" w:rsidRDefault="00994660" w:rsidP="009B36F0">
      <w:pPr>
        <w:pStyle w:val="Heading1"/>
      </w:pPr>
      <w:bookmarkStart w:id="3" w:name="_Toc80533995"/>
      <w:r>
        <w:lastRenderedPageBreak/>
        <w:t>Access Control</w:t>
      </w:r>
      <w:bookmarkEnd w:id="3"/>
    </w:p>
    <w:p w14:paraId="2EDD6DC5" w14:textId="77777777" w:rsidR="00E56DBA" w:rsidRDefault="00E56DBA" w:rsidP="00E56DBA">
      <w:pPr>
        <w:pStyle w:val="Heading2"/>
      </w:pPr>
      <w:bookmarkStart w:id="4" w:name="_Toc80533996"/>
      <w:r>
        <w:t>Purpose</w:t>
      </w:r>
      <w:bookmarkEnd w:id="4"/>
    </w:p>
    <w:p w14:paraId="3BDF7D33" w14:textId="389A7235" w:rsidR="006376BB" w:rsidRDefault="006376BB" w:rsidP="006376BB">
      <w:r w:rsidRPr="00523B88">
        <w:t xml:space="preserve">This </w:t>
      </w:r>
      <w:r>
        <w:t>document outlines</w:t>
      </w:r>
      <w:r w:rsidRPr="00523B88">
        <w:t xml:space="preserve"> </w:t>
      </w:r>
      <w:r>
        <w:t>Access Control Security</w:t>
      </w:r>
      <w:r w:rsidRPr="00523B88">
        <w:t xml:space="preserve"> P</w:t>
      </w:r>
      <w:r>
        <w:t>olic</w:t>
      </w:r>
      <w:r w:rsidR="008670C8">
        <w:t>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07D2E712" w14:textId="77777777" w:rsidR="006376BB" w:rsidRDefault="006376BB" w:rsidP="006376BB">
      <w:r>
        <w:t>OT Security Operations policies aim to define the purpose, direction, principles, and basic rules for OT cybersecurity management for NWC.</w:t>
      </w:r>
    </w:p>
    <w:p w14:paraId="7FC8E931" w14:textId="46432E49" w:rsidR="00E56DBA" w:rsidRDefault="00E56DBA" w:rsidP="00E56DBA">
      <w:r w:rsidRPr="00114883">
        <w:t xml:space="preserve">This </w:t>
      </w:r>
      <w:r w:rsidR="00C96DC4">
        <w:t>P</w:t>
      </w:r>
      <w:r w:rsidRPr="00114883">
        <w:t xml:space="preserve">olicy provides </w:t>
      </w:r>
      <w:r w:rsidR="00A95068">
        <w:t xml:space="preserve">necessary </w:t>
      </w:r>
      <w:r>
        <w:t xml:space="preserve">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rsidR="00A95068">
        <w:t>on</w:t>
      </w:r>
      <w:r>
        <w:t xml:space="preserve"> NWC OT Environm</w:t>
      </w:r>
      <w:r w:rsidR="00A95068">
        <w:t>en</w:t>
      </w:r>
      <w:r w:rsidR="00EC68F7">
        <w:t>t</w:t>
      </w:r>
      <w:r w:rsidRPr="00C50B1D">
        <w:t>.</w:t>
      </w:r>
    </w:p>
    <w:p w14:paraId="59A6F9B4" w14:textId="77777777" w:rsidR="00E56DBA" w:rsidRDefault="00E56DBA" w:rsidP="00E56DBA">
      <w:pPr>
        <w:pStyle w:val="Heading2"/>
      </w:pPr>
      <w:bookmarkStart w:id="5" w:name="_Toc80533997"/>
      <w:r>
        <w:t>Scope and Applicability</w:t>
      </w:r>
      <w:bookmarkEnd w:id="5"/>
    </w:p>
    <w:p w14:paraId="75C666CC" w14:textId="06915B17" w:rsidR="00E56DBA" w:rsidRDefault="00E56DBA" w:rsidP="00E56DBA">
      <w:r w:rsidRPr="005A4CAB">
        <w:t xml:space="preserve">The </w:t>
      </w:r>
      <w:r w:rsidR="00C96DC4">
        <w:t>P</w:t>
      </w:r>
      <w:r w:rsidRPr="005A4CAB">
        <w:t>olicy govern</w:t>
      </w:r>
      <w:r>
        <w:t>s</w:t>
      </w:r>
      <w:r w:rsidRPr="005A4CAB">
        <w:t xml:space="preserve"> the </w:t>
      </w:r>
      <w:r w:rsidR="009C3A36">
        <w:t xml:space="preserve">Access Control for </w:t>
      </w:r>
      <w:r>
        <w:t xml:space="preserve">all NWC OT </w:t>
      </w:r>
      <w:r w:rsidRPr="005A4CAB">
        <w:t>systems, devices</w:t>
      </w:r>
      <w:r w:rsidR="00503AAE">
        <w:t>,</w:t>
      </w:r>
      <w:r w:rsidRPr="005A4CAB">
        <w:t xml:space="preserve"> or applications and information deployed </w:t>
      </w:r>
      <w:r w:rsidR="00503AAE">
        <w:t>to support</w:t>
      </w:r>
      <w:r w:rsidRPr="005A4CAB">
        <w:t xml:space="preserve"> </w:t>
      </w:r>
      <w:r w:rsidR="00503AAE">
        <w:t xml:space="preserve">the </w:t>
      </w:r>
      <w:r>
        <w:t>NWC OT Environment.</w:t>
      </w:r>
    </w:p>
    <w:p w14:paraId="57629C57" w14:textId="18AECD95" w:rsidR="00E56DBA" w:rsidRDefault="00E56DBA" w:rsidP="00E56DBA">
      <w:r w:rsidRPr="00E720B3">
        <w:t xml:space="preserve">This Policy </w:t>
      </w:r>
      <w:r w:rsidR="008C4607">
        <w:t>applies</w:t>
      </w:r>
      <w:r w:rsidRPr="00E720B3">
        <w:t xml:space="preserve"> to </w:t>
      </w:r>
      <w:r>
        <w:t>all NWC BU/Departments</w:t>
      </w:r>
      <w:r w:rsidRPr="00E720B3">
        <w:t xml:space="preserve"> that use or have </w:t>
      </w:r>
      <w:r w:rsidR="00125A0D">
        <w:t>A</w:t>
      </w:r>
      <w:r w:rsidRPr="00E720B3">
        <w:t xml:space="preserve">ccess to </w:t>
      </w:r>
      <w:r>
        <w:t>NWC OT systems, devices, applications</w:t>
      </w:r>
      <w:r w:rsidR="00125A0D">
        <w:t>,</w:t>
      </w:r>
      <w:r>
        <w:t xml:space="preserve"> and information deployment in support of NWC OT Environment </w:t>
      </w:r>
      <w:r w:rsidRPr="00E720B3">
        <w:t>at any level.</w:t>
      </w:r>
    </w:p>
    <w:p w14:paraId="3EC45B30" w14:textId="3CADC761" w:rsidR="000D49B6" w:rsidRDefault="000D49B6" w:rsidP="000D49B6">
      <w:pPr>
        <w:pStyle w:val="Heading2"/>
      </w:pPr>
      <w:bookmarkStart w:id="6" w:name="_Toc80533998"/>
      <w:r>
        <w:t>Guidance</w:t>
      </w:r>
      <w:bookmarkEnd w:id="6"/>
    </w:p>
    <w:p w14:paraId="0DEB0706" w14:textId="2B5DC59F" w:rsidR="000D49B6" w:rsidRDefault="000D49B6" w:rsidP="000D49B6">
      <w:r w:rsidRPr="00FA60CD">
        <w:t xml:space="preserve">The Policy </w:t>
      </w:r>
      <w:r>
        <w:t>statements</w:t>
      </w:r>
      <w:r w:rsidRPr="00FA60CD">
        <w:t xml:space="preserve"> </w:t>
      </w:r>
      <w:r>
        <w:t xml:space="preserve">are </w:t>
      </w:r>
      <w:r w:rsidRPr="00FA60CD">
        <w:t>in italics</w:t>
      </w:r>
      <w:r>
        <w:t xml:space="preserve">, where required, in &lt;…&gt;. It’s </w:t>
      </w:r>
      <w:r w:rsidR="00125A0D">
        <w:t xml:space="preserve">the </w:t>
      </w:r>
      <w:r w:rsidRPr="00FA60CD">
        <w:t>rationale for each paragraph</w:t>
      </w:r>
      <w:r>
        <w:t>, clause</w:t>
      </w:r>
      <w:r w:rsidR="00C62103">
        <w:t>,</w:t>
      </w:r>
      <w:r w:rsidRPr="00FA60CD">
        <w:t xml:space="preserve"> or section</w:t>
      </w:r>
      <w:r>
        <w:t xml:space="preserve"> is non-italics</w:t>
      </w:r>
      <w:r w:rsidRPr="00FA60CD">
        <w:t>, where required, in [….].</w:t>
      </w:r>
    </w:p>
    <w:p w14:paraId="0C7928B4" w14:textId="77777777" w:rsidR="000D49B6" w:rsidRDefault="000D49B6" w:rsidP="000D49B6">
      <w:pPr>
        <w:pStyle w:val="Heading2"/>
      </w:pPr>
      <w:bookmarkStart w:id="7" w:name="_Toc80533999"/>
      <w:r>
        <w:t>Terminology</w:t>
      </w:r>
      <w:bookmarkEnd w:id="7"/>
    </w:p>
    <w:tbl>
      <w:tblPr>
        <w:tblStyle w:val="TableGrid"/>
        <w:tblW w:w="0" w:type="auto"/>
        <w:tblLook w:val="04A0" w:firstRow="1" w:lastRow="0" w:firstColumn="1" w:lastColumn="0" w:noHBand="0" w:noVBand="1"/>
      </w:tblPr>
      <w:tblGrid>
        <w:gridCol w:w="2245"/>
        <w:gridCol w:w="7278"/>
      </w:tblGrid>
      <w:tr w:rsidR="000D49B6" w14:paraId="01BF1DD6" w14:textId="77777777" w:rsidTr="00DE3FCF">
        <w:tc>
          <w:tcPr>
            <w:tcW w:w="2245" w:type="dxa"/>
            <w:shd w:val="clear" w:color="auto" w:fill="D0CECE" w:themeFill="background2" w:themeFillShade="E6"/>
          </w:tcPr>
          <w:p w14:paraId="1F1B4BB9" w14:textId="77777777" w:rsidR="000D49B6" w:rsidRPr="00A701C9" w:rsidRDefault="000D49B6" w:rsidP="00DE3FCF">
            <w:pPr>
              <w:rPr>
                <w:b/>
                <w:bCs/>
              </w:rPr>
            </w:pPr>
            <w:r w:rsidRPr="00A701C9">
              <w:rPr>
                <w:b/>
                <w:bCs/>
              </w:rPr>
              <w:t>Term</w:t>
            </w:r>
          </w:p>
        </w:tc>
        <w:tc>
          <w:tcPr>
            <w:tcW w:w="7278" w:type="dxa"/>
            <w:shd w:val="clear" w:color="auto" w:fill="D0CECE" w:themeFill="background2" w:themeFillShade="E6"/>
          </w:tcPr>
          <w:p w14:paraId="7534B2DF" w14:textId="77777777" w:rsidR="000D49B6" w:rsidRPr="00A701C9" w:rsidRDefault="000D49B6" w:rsidP="00DE3FCF">
            <w:pPr>
              <w:rPr>
                <w:b/>
                <w:bCs/>
              </w:rPr>
            </w:pPr>
            <w:r w:rsidRPr="00A701C9">
              <w:rPr>
                <w:b/>
                <w:bCs/>
              </w:rPr>
              <w:t>Definition</w:t>
            </w:r>
          </w:p>
        </w:tc>
      </w:tr>
      <w:tr w:rsidR="000D49B6" w14:paraId="0FA58FC8" w14:textId="77777777" w:rsidTr="00DE3FCF">
        <w:tc>
          <w:tcPr>
            <w:tcW w:w="2245" w:type="dxa"/>
          </w:tcPr>
          <w:p w14:paraId="1BE841EF" w14:textId="77777777" w:rsidR="000D49B6" w:rsidRPr="00293F61" w:rsidRDefault="000D49B6" w:rsidP="00DE3FCF">
            <w:pPr>
              <w:rPr>
                <w:i/>
                <w:iCs/>
              </w:rPr>
            </w:pPr>
            <w:r w:rsidRPr="00293F61">
              <w:rPr>
                <w:i/>
                <w:iCs/>
              </w:rPr>
              <w:t>SHALL</w:t>
            </w:r>
          </w:p>
        </w:tc>
        <w:tc>
          <w:tcPr>
            <w:tcW w:w="7278" w:type="dxa"/>
          </w:tcPr>
          <w:p w14:paraId="3836213A" w14:textId="77777777" w:rsidR="000D49B6" w:rsidRPr="00293F61" w:rsidRDefault="000D49B6"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0D49B6" w14:paraId="41EED071" w14:textId="77777777" w:rsidTr="00DE3FCF">
        <w:tc>
          <w:tcPr>
            <w:tcW w:w="2245" w:type="dxa"/>
          </w:tcPr>
          <w:p w14:paraId="5D8999BC" w14:textId="77777777" w:rsidR="000D49B6" w:rsidRPr="00293F61" w:rsidRDefault="000D49B6" w:rsidP="00DE3FCF">
            <w:pPr>
              <w:rPr>
                <w:i/>
                <w:iCs/>
              </w:rPr>
            </w:pPr>
            <w:r w:rsidRPr="00293F61">
              <w:rPr>
                <w:i/>
                <w:iCs/>
              </w:rPr>
              <w:t>SHOULD</w:t>
            </w:r>
          </w:p>
        </w:tc>
        <w:tc>
          <w:tcPr>
            <w:tcW w:w="7278" w:type="dxa"/>
          </w:tcPr>
          <w:p w14:paraId="02DBB657" w14:textId="77777777" w:rsidR="000D49B6" w:rsidRPr="00293F61" w:rsidRDefault="000D49B6"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0D49B6" w14:paraId="786CE683" w14:textId="77777777" w:rsidTr="00DE3FCF">
        <w:tc>
          <w:tcPr>
            <w:tcW w:w="2245" w:type="dxa"/>
          </w:tcPr>
          <w:p w14:paraId="01BF58AC" w14:textId="77777777" w:rsidR="000D49B6" w:rsidRPr="00293F61" w:rsidRDefault="000D49B6" w:rsidP="00DE3FCF">
            <w:pPr>
              <w:rPr>
                <w:i/>
                <w:iCs/>
              </w:rPr>
            </w:pPr>
            <w:r w:rsidRPr="00293F61">
              <w:rPr>
                <w:i/>
                <w:iCs/>
              </w:rPr>
              <w:t>MAY</w:t>
            </w:r>
          </w:p>
        </w:tc>
        <w:tc>
          <w:tcPr>
            <w:tcW w:w="7278" w:type="dxa"/>
          </w:tcPr>
          <w:p w14:paraId="24B96BE5" w14:textId="77777777" w:rsidR="000D49B6" w:rsidRPr="00293F61" w:rsidRDefault="000D49B6"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5CDCCC3B" w14:textId="77777777" w:rsidR="009C3A36" w:rsidRPr="00547451" w:rsidRDefault="009C3A36" w:rsidP="00A966D2">
      <w:pPr>
        <w:pStyle w:val="Heading2"/>
      </w:pPr>
      <w:bookmarkStart w:id="8" w:name="_Toc80534000"/>
      <w:r>
        <w:t>Policy</w:t>
      </w:r>
      <w:bookmarkEnd w:id="8"/>
    </w:p>
    <w:p w14:paraId="6B22E813" w14:textId="7482F69B" w:rsidR="001B6EDD" w:rsidRDefault="000F10B8" w:rsidP="002501CA">
      <w:pPr>
        <w:pStyle w:val="ListParagraph"/>
        <w:numPr>
          <w:ilvl w:val="0"/>
          <w:numId w:val="8"/>
        </w:numPr>
        <w:rPr>
          <w:i/>
          <w:iCs/>
        </w:rPr>
      </w:pPr>
      <w:r>
        <w:rPr>
          <w:i/>
          <w:iCs/>
        </w:rPr>
        <w:t xml:space="preserve">Access management </w:t>
      </w:r>
      <w:r w:rsidR="00AE33DB">
        <w:rPr>
          <w:i/>
          <w:iCs/>
        </w:rPr>
        <w:t xml:space="preserve">shall </w:t>
      </w:r>
      <w:r>
        <w:rPr>
          <w:i/>
          <w:iCs/>
        </w:rPr>
        <w:t xml:space="preserve">be enforced using </w:t>
      </w:r>
      <w:r w:rsidR="002F6355" w:rsidRPr="00557B79">
        <w:rPr>
          <w:i/>
          <w:iCs/>
        </w:rPr>
        <w:t xml:space="preserve">formal </w:t>
      </w:r>
      <w:r w:rsidR="001B6EDD">
        <w:rPr>
          <w:i/>
          <w:iCs/>
        </w:rPr>
        <w:t xml:space="preserve">documented </w:t>
      </w:r>
      <w:r w:rsidR="002F6355" w:rsidRPr="00557B79">
        <w:rPr>
          <w:i/>
          <w:iCs/>
        </w:rPr>
        <w:t>procedure</w:t>
      </w:r>
      <w:r>
        <w:rPr>
          <w:i/>
          <w:iCs/>
        </w:rPr>
        <w:t xml:space="preserve">/process </w:t>
      </w:r>
      <w:r w:rsidR="001B6EDD">
        <w:rPr>
          <w:i/>
          <w:iCs/>
        </w:rPr>
        <w:t xml:space="preserve">with proper </w:t>
      </w:r>
      <w:r w:rsidR="00CE0C86" w:rsidRPr="00557B79">
        <w:rPr>
          <w:i/>
          <w:iCs/>
        </w:rPr>
        <w:t xml:space="preserve">management </w:t>
      </w:r>
      <w:r w:rsidR="001B6EDD">
        <w:rPr>
          <w:i/>
          <w:iCs/>
        </w:rPr>
        <w:t>and authorization.</w:t>
      </w:r>
    </w:p>
    <w:p w14:paraId="115EB543" w14:textId="38C9D6D2" w:rsidR="00651B3E" w:rsidRDefault="00DA0EB3" w:rsidP="002501CA">
      <w:pPr>
        <w:pStyle w:val="ListParagraph"/>
        <w:numPr>
          <w:ilvl w:val="0"/>
          <w:numId w:val="8"/>
        </w:numPr>
        <w:rPr>
          <w:i/>
          <w:iCs/>
        </w:rPr>
      </w:pPr>
      <w:r>
        <w:rPr>
          <w:i/>
          <w:iCs/>
        </w:rPr>
        <w:lastRenderedPageBreak/>
        <w:t xml:space="preserve">OT Asset Owner shall manage Mandatory Access Control </w:t>
      </w:r>
      <w:r w:rsidR="00200A6A">
        <w:rPr>
          <w:i/>
          <w:iCs/>
        </w:rPr>
        <w:t xml:space="preserve">applicable to </w:t>
      </w:r>
      <w:r w:rsidR="00D228E6">
        <w:rPr>
          <w:i/>
          <w:iCs/>
        </w:rPr>
        <w:t xml:space="preserve">different </w:t>
      </w:r>
      <w:r w:rsidR="00184142">
        <w:rPr>
          <w:i/>
          <w:iCs/>
        </w:rPr>
        <w:t xml:space="preserve">OT </w:t>
      </w:r>
      <w:r w:rsidR="00D228E6">
        <w:rPr>
          <w:i/>
          <w:iCs/>
        </w:rPr>
        <w:t>Asse</w:t>
      </w:r>
      <w:r w:rsidR="00184142">
        <w:rPr>
          <w:i/>
          <w:iCs/>
        </w:rPr>
        <w:t>ts</w:t>
      </w:r>
      <w:r w:rsidR="00D40576">
        <w:rPr>
          <w:i/>
          <w:iCs/>
        </w:rPr>
        <w:t>.</w:t>
      </w:r>
    </w:p>
    <w:p w14:paraId="43EF3D26" w14:textId="486FF023" w:rsidR="00762D74" w:rsidRDefault="00762D74" w:rsidP="002501CA">
      <w:pPr>
        <w:pStyle w:val="ListParagraph"/>
        <w:numPr>
          <w:ilvl w:val="0"/>
          <w:numId w:val="8"/>
        </w:numPr>
        <w:rPr>
          <w:i/>
          <w:iCs/>
        </w:rPr>
      </w:pPr>
      <w:r w:rsidRPr="00557B79">
        <w:rPr>
          <w:i/>
          <w:iCs/>
        </w:rPr>
        <w:t>Role</w:t>
      </w:r>
      <w:r w:rsidR="00633AC3">
        <w:rPr>
          <w:i/>
          <w:iCs/>
        </w:rPr>
        <w:t>/</w:t>
      </w:r>
      <w:r w:rsidR="00D40576">
        <w:rPr>
          <w:i/>
          <w:iCs/>
        </w:rPr>
        <w:t>Rule</w:t>
      </w:r>
      <w:r w:rsidRPr="00557B79">
        <w:rPr>
          <w:i/>
          <w:iCs/>
        </w:rPr>
        <w:t xml:space="preserve">-based access control (RBAC) </w:t>
      </w:r>
      <w:r w:rsidR="00ED456F" w:rsidRPr="00557B79">
        <w:rPr>
          <w:i/>
          <w:iCs/>
        </w:rPr>
        <w:t>shall</w:t>
      </w:r>
      <w:r w:rsidRPr="00557B79">
        <w:rPr>
          <w:i/>
          <w:iCs/>
        </w:rPr>
        <w:t xml:space="preserve"> be used as the method to secure </w:t>
      </w:r>
      <w:r w:rsidR="00EB2E93" w:rsidRPr="00557B79">
        <w:rPr>
          <w:i/>
          <w:iCs/>
        </w:rPr>
        <w:t>A</w:t>
      </w:r>
      <w:r w:rsidRPr="00557B79">
        <w:rPr>
          <w:i/>
          <w:iCs/>
        </w:rPr>
        <w:t xml:space="preserve">ccess to all </w:t>
      </w:r>
      <w:r w:rsidR="00857A81">
        <w:rPr>
          <w:i/>
          <w:iCs/>
        </w:rPr>
        <w:t>OT Systems (where applicable)</w:t>
      </w:r>
      <w:r w:rsidRPr="00557B79">
        <w:rPr>
          <w:i/>
          <w:iCs/>
        </w:rPr>
        <w:t xml:space="preserve"> within N</w:t>
      </w:r>
      <w:r w:rsidR="00374A49" w:rsidRPr="00557B79">
        <w:rPr>
          <w:i/>
          <w:iCs/>
        </w:rPr>
        <w:t>WC</w:t>
      </w:r>
      <w:r w:rsidR="00633AC3">
        <w:rPr>
          <w:i/>
          <w:iCs/>
        </w:rPr>
        <w:t>.</w:t>
      </w:r>
    </w:p>
    <w:p w14:paraId="2FA59B3F" w14:textId="24F2AEA2" w:rsidR="00A3067C" w:rsidRPr="00435126" w:rsidRDefault="00A3067C" w:rsidP="00557B79">
      <w:pPr>
        <w:pStyle w:val="Heading3"/>
        <w:rPr>
          <w:b/>
          <w:bCs/>
        </w:rPr>
      </w:pPr>
      <w:r w:rsidRPr="00435126">
        <w:rPr>
          <w:b/>
          <w:bCs/>
        </w:rPr>
        <w:t xml:space="preserve">Privileged </w:t>
      </w:r>
      <w:r w:rsidR="00096BF3" w:rsidRPr="00435126">
        <w:rPr>
          <w:b/>
          <w:bCs/>
        </w:rPr>
        <w:t xml:space="preserve">and least privileged </w:t>
      </w:r>
      <w:r w:rsidRPr="00435126">
        <w:rPr>
          <w:b/>
          <w:bCs/>
        </w:rPr>
        <w:t>accounts</w:t>
      </w:r>
    </w:p>
    <w:p w14:paraId="6A2DA7F3" w14:textId="62B29754" w:rsidR="00AB2F16" w:rsidRDefault="00AB2F16" w:rsidP="002501CA">
      <w:pPr>
        <w:pStyle w:val="ListParagraph"/>
        <w:numPr>
          <w:ilvl w:val="0"/>
          <w:numId w:val="36"/>
        </w:numPr>
      </w:pPr>
      <w:r w:rsidRPr="00557B79">
        <w:rPr>
          <w:i/>
          <w:iCs/>
        </w:rPr>
        <w:t xml:space="preserve">Access to all </w:t>
      </w:r>
      <w:r w:rsidR="002C7255" w:rsidRPr="00557B79">
        <w:rPr>
          <w:i/>
          <w:iCs/>
        </w:rPr>
        <w:t xml:space="preserve">OT </w:t>
      </w:r>
      <w:r w:rsidRPr="00557B79">
        <w:rPr>
          <w:i/>
          <w:iCs/>
        </w:rPr>
        <w:t xml:space="preserve">systems and associated data shall be </w:t>
      </w:r>
      <w:r w:rsidR="00953C75" w:rsidRPr="00557B79">
        <w:rPr>
          <w:i/>
          <w:iCs/>
        </w:rPr>
        <w:t>approved</w:t>
      </w:r>
      <w:r w:rsidRPr="00557B79">
        <w:rPr>
          <w:i/>
          <w:iCs/>
        </w:rPr>
        <w:t xml:space="preserve"> using the principle of ‘Least Privilege’</w:t>
      </w:r>
      <w:r w:rsidRPr="0052301D">
        <w:t xml:space="preserve">. </w:t>
      </w:r>
      <w:r w:rsidR="00953C75">
        <w:t>It</w:t>
      </w:r>
      <w:r w:rsidRPr="0052301D">
        <w:t xml:space="preserve"> </w:t>
      </w:r>
      <w:r w:rsidR="00FD00FE">
        <w:t>implies</w:t>
      </w:r>
      <w:r w:rsidRPr="0052301D">
        <w:t xml:space="preserve"> that every system, </w:t>
      </w:r>
      <w:r w:rsidR="007A5931" w:rsidRPr="0052301D">
        <w:t>software,</w:t>
      </w:r>
      <w:r w:rsidRPr="0052301D">
        <w:t xml:space="preserve"> and </w:t>
      </w:r>
      <w:r w:rsidR="00574A4B">
        <w:t>U</w:t>
      </w:r>
      <w:r w:rsidRPr="0052301D">
        <w:t>ser sh</w:t>
      </w:r>
      <w:r w:rsidR="0076225C" w:rsidRPr="0052301D">
        <w:t>all</w:t>
      </w:r>
      <w:r w:rsidRPr="0052301D">
        <w:t xml:space="preserve"> </w:t>
      </w:r>
      <w:r w:rsidR="00317AE9">
        <w:t>use</w:t>
      </w:r>
      <w:r w:rsidRPr="0052301D">
        <w:t xml:space="preserve"> the least privileges necessary to complete the job.</w:t>
      </w:r>
    </w:p>
    <w:p w14:paraId="4D6D8265" w14:textId="3F83FA60" w:rsidR="002F6355" w:rsidRPr="00557B79" w:rsidRDefault="00B548F3" w:rsidP="002501CA">
      <w:pPr>
        <w:pStyle w:val="ListParagraph"/>
        <w:numPr>
          <w:ilvl w:val="0"/>
          <w:numId w:val="36"/>
        </w:numPr>
        <w:rPr>
          <w:i/>
          <w:iCs/>
        </w:rPr>
      </w:pPr>
      <w:r>
        <w:rPr>
          <w:i/>
          <w:iCs/>
        </w:rPr>
        <w:t>P</w:t>
      </w:r>
      <w:r w:rsidR="009D5169" w:rsidRPr="00557B79">
        <w:rPr>
          <w:i/>
          <w:iCs/>
        </w:rPr>
        <w:t xml:space="preserve">rivilege rights </w:t>
      </w:r>
      <w:r>
        <w:rPr>
          <w:i/>
          <w:iCs/>
        </w:rPr>
        <w:t xml:space="preserve">allocation </w:t>
      </w:r>
      <w:r w:rsidR="009D5169" w:rsidRPr="00557B79">
        <w:rPr>
          <w:i/>
          <w:iCs/>
        </w:rPr>
        <w:t>(e.g., local administrator, domain administrator) shall be restricted and controlled and not provided by default.</w:t>
      </w:r>
    </w:p>
    <w:p w14:paraId="1C10F4D9" w14:textId="2938A3AB" w:rsidR="00762D74" w:rsidRPr="00557B79" w:rsidRDefault="00E16427" w:rsidP="002501CA">
      <w:pPr>
        <w:pStyle w:val="ListParagraph"/>
        <w:numPr>
          <w:ilvl w:val="0"/>
          <w:numId w:val="36"/>
        </w:numPr>
        <w:rPr>
          <w:i/>
          <w:iCs/>
        </w:rPr>
      </w:pPr>
      <w:r w:rsidRPr="00557B79">
        <w:rPr>
          <w:i/>
          <w:iCs/>
        </w:rPr>
        <w:t xml:space="preserve">Authorization for the use of </w:t>
      </w:r>
      <w:r w:rsidR="00502965" w:rsidRPr="00557B79">
        <w:rPr>
          <w:i/>
          <w:iCs/>
        </w:rPr>
        <w:t xml:space="preserve">privileged </w:t>
      </w:r>
      <w:r w:rsidRPr="00557B79">
        <w:rPr>
          <w:i/>
          <w:iCs/>
        </w:rPr>
        <w:t xml:space="preserve">accounts shall only be provided explicitly upon written request and </w:t>
      </w:r>
      <w:r w:rsidR="006174BF" w:rsidRPr="00557B79">
        <w:rPr>
          <w:i/>
          <w:iCs/>
        </w:rPr>
        <w:t>shall</w:t>
      </w:r>
      <w:r w:rsidRPr="00557B79">
        <w:rPr>
          <w:i/>
          <w:iCs/>
        </w:rPr>
        <w:t xml:space="preserve"> be documented </w:t>
      </w:r>
      <w:r w:rsidR="006174BF" w:rsidRPr="00557B79">
        <w:rPr>
          <w:i/>
          <w:iCs/>
        </w:rPr>
        <w:t>as per Access Control Procedure</w:t>
      </w:r>
      <w:r w:rsidRPr="00557B79">
        <w:rPr>
          <w:i/>
          <w:iCs/>
        </w:rPr>
        <w:t>.</w:t>
      </w:r>
    </w:p>
    <w:p w14:paraId="16A00A28" w14:textId="455C6697" w:rsidR="00526968" w:rsidRDefault="00655EAC" w:rsidP="002501CA">
      <w:pPr>
        <w:pStyle w:val="ListParagraph"/>
        <w:numPr>
          <w:ilvl w:val="0"/>
          <w:numId w:val="36"/>
        </w:numPr>
        <w:rPr>
          <w:i/>
          <w:iCs/>
        </w:rPr>
      </w:pPr>
      <w:r>
        <w:rPr>
          <w:i/>
          <w:iCs/>
        </w:rPr>
        <w:t xml:space="preserve">Clear </w:t>
      </w:r>
      <w:r w:rsidR="00526968">
        <w:rPr>
          <w:i/>
          <w:iCs/>
        </w:rPr>
        <w:t>procedures</w:t>
      </w:r>
      <w:r w:rsidR="006A071B">
        <w:rPr>
          <w:i/>
          <w:iCs/>
        </w:rPr>
        <w:t xml:space="preserve"> or </w:t>
      </w:r>
      <w:r w:rsidR="00526968">
        <w:rPr>
          <w:i/>
          <w:iCs/>
        </w:rPr>
        <w:t>processes shall be enforced to protect against issuing privilege</w:t>
      </w:r>
      <w:r>
        <w:rPr>
          <w:i/>
          <w:iCs/>
        </w:rPr>
        <w:t>d</w:t>
      </w:r>
      <w:r w:rsidR="00526968">
        <w:rPr>
          <w:i/>
          <w:iCs/>
        </w:rPr>
        <w:t xml:space="preserve"> rights.</w:t>
      </w:r>
    </w:p>
    <w:p w14:paraId="1B4A6BBB" w14:textId="77777777" w:rsidR="00655EAC" w:rsidRDefault="00655EAC" w:rsidP="002501CA">
      <w:pPr>
        <w:pStyle w:val="ListParagraph"/>
        <w:numPr>
          <w:ilvl w:val="0"/>
          <w:numId w:val="36"/>
        </w:numPr>
        <w:rPr>
          <w:i/>
          <w:iCs/>
        </w:rPr>
      </w:pPr>
      <w:r w:rsidRPr="00557B79">
        <w:rPr>
          <w:i/>
          <w:iCs/>
        </w:rPr>
        <w:t xml:space="preserve">Privileged accounts shall not be used for standard activities; </w:t>
      </w:r>
      <w:r w:rsidRPr="0014414F">
        <w:t>they are for program installation and system reconfiguration, not for program use,</w:t>
      </w:r>
      <w:r w:rsidRPr="00557B79">
        <w:rPr>
          <w:i/>
          <w:iCs/>
        </w:rPr>
        <w:t xml:space="preserve"> unless it is otherwise impossible to operate the program.</w:t>
      </w:r>
    </w:p>
    <w:p w14:paraId="1478FB32" w14:textId="233DCF7C" w:rsidR="00F63ACD" w:rsidRDefault="00B22545" w:rsidP="002501CA">
      <w:pPr>
        <w:pStyle w:val="ListParagraph"/>
        <w:numPr>
          <w:ilvl w:val="0"/>
          <w:numId w:val="36"/>
        </w:numPr>
        <w:rPr>
          <w:i/>
          <w:iCs/>
        </w:rPr>
      </w:pPr>
      <w:r>
        <w:rPr>
          <w:i/>
          <w:iCs/>
        </w:rPr>
        <w:t xml:space="preserve">System/Application specific </w:t>
      </w:r>
      <w:r w:rsidR="00526968">
        <w:rPr>
          <w:i/>
          <w:iCs/>
        </w:rPr>
        <w:t xml:space="preserve">Service accounts </w:t>
      </w:r>
      <w:r w:rsidR="00221C09">
        <w:rPr>
          <w:i/>
          <w:iCs/>
        </w:rPr>
        <w:t xml:space="preserve">shall </w:t>
      </w:r>
      <w:r w:rsidR="00526968">
        <w:rPr>
          <w:i/>
          <w:iCs/>
        </w:rPr>
        <w:t xml:space="preserve">not be </w:t>
      </w:r>
      <w:r w:rsidR="002E2F66">
        <w:rPr>
          <w:i/>
          <w:iCs/>
        </w:rPr>
        <w:t>created/</w:t>
      </w:r>
      <w:r w:rsidR="00526968">
        <w:rPr>
          <w:i/>
          <w:iCs/>
        </w:rPr>
        <w:t xml:space="preserve">used </w:t>
      </w:r>
      <w:r w:rsidR="00473E75">
        <w:rPr>
          <w:i/>
          <w:iCs/>
        </w:rPr>
        <w:t xml:space="preserve">unless deemed necessary </w:t>
      </w:r>
      <w:r w:rsidR="005825E8">
        <w:rPr>
          <w:i/>
          <w:iCs/>
        </w:rPr>
        <w:t xml:space="preserve">for </w:t>
      </w:r>
      <w:r w:rsidR="009C4FDB">
        <w:rPr>
          <w:i/>
          <w:iCs/>
        </w:rPr>
        <w:t xml:space="preserve">system/application functioning &amp; continuous </w:t>
      </w:r>
      <w:r w:rsidR="005825E8">
        <w:rPr>
          <w:i/>
          <w:iCs/>
        </w:rPr>
        <w:t>operation</w:t>
      </w:r>
      <w:r w:rsidR="000A27F0">
        <w:rPr>
          <w:i/>
          <w:iCs/>
        </w:rPr>
        <w:t>.</w:t>
      </w:r>
    </w:p>
    <w:p w14:paraId="1BAEDB79" w14:textId="361CEC58" w:rsidR="00526968" w:rsidRDefault="00F63ACD" w:rsidP="002501CA">
      <w:pPr>
        <w:pStyle w:val="ListParagraph"/>
        <w:numPr>
          <w:ilvl w:val="0"/>
          <w:numId w:val="36"/>
        </w:numPr>
        <w:rPr>
          <w:i/>
          <w:iCs/>
        </w:rPr>
      </w:pPr>
      <w:r>
        <w:rPr>
          <w:i/>
          <w:iCs/>
        </w:rPr>
        <w:t xml:space="preserve">System/Application specific Service accounts </w:t>
      </w:r>
      <w:r w:rsidR="00221C09">
        <w:rPr>
          <w:i/>
          <w:iCs/>
        </w:rPr>
        <w:t xml:space="preserve">should </w:t>
      </w:r>
      <w:r w:rsidR="0057147C">
        <w:rPr>
          <w:i/>
          <w:iCs/>
        </w:rPr>
        <w:t xml:space="preserve">be </w:t>
      </w:r>
      <w:r w:rsidR="001A5365">
        <w:rPr>
          <w:i/>
          <w:iCs/>
        </w:rPr>
        <w:t>granted lease privilege rights based on System/Application OEM/vendor recommendations</w:t>
      </w:r>
      <w:r w:rsidR="003A121D">
        <w:rPr>
          <w:i/>
          <w:iCs/>
        </w:rPr>
        <w:t xml:space="preserve"> </w:t>
      </w:r>
      <w:r w:rsidR="0057147C">
        <w:rPr>
          <w:i/>
          <w:iCs/>
        </w:rPr>
        <w:t xml:space="preserve">following </w:t>
      </w:r>
      <w:r w:rsidR="003A121D">
        <w:rPr>
          <w:i/>
          <w:iCs/>
        </w:rPr>
        <w:t>Change Management Procedure</w:t>
      </w:r>
      <w:r w:rsidR="00473E75">
        <w:rPr>
          <w:i/>
          <w:iCs/>
        </w:rPr>
        <w:t>.</w:t>
      </w:r>
    </w:p>
    <w:p w14:paraId="007F8312" w14:textId="5E17F877" w:rsidR="00502965" w:rsidRPr="0075033F" w:rsidRDefault="00502965" w:rsidP="00435126">
      <w:pPr>
        <w:pStyle w:val="Heading3"/>
        <w:rPr>
          <w:b/>
          <w:bCs/>
        </w:rPr>
      </w:pPr>
      <w:r w:rsidRPr="0075033F">
        <w:rPr>
          <w:b/>
          <w:bCs/>
        </w:rPr>
        <w:t>User Identi</w:t>
      </w:r>
      <w:r w:rsidR="000C5E37" w:rsidRPr="0075033F">
        <w:rPr>
          <w:b/>
          <w:bCs/>
        </w:rPr>
        <w:t>ty</w:t>
      </w:r>
    </w:p>
    <w:p w14:paraId="7203612B" w14:textId="2EDDE763" w:rsidR="00A93379" w:rsidRDefault="00A93379" w:rsidP="002501CA">
      <w:pPr>
        <w:pStyle w:val="ListParagraph"/>
        <w:numPr>
          <w:ilvl w:val="0"/>
          <w:numId w:val="37"/>
        </w:numPr>
        <w:rPr>
          <w:i/>
          <w:iCs/>
        </w:rPr>
      </w:pPr>
      <w:r w:rsidRPr="00435126">
        <w:rPr>
          <w:i/>
          <w:iCs/>
        </w:rPr>
        <w:t xml:space="preserve">Only authorized personnel shall have Access to </w:t>
      </w:r>
      <w:r>
        <w:rPr>
          <w:i/>
          <w:iCs/>
        </w:rPr>
        <w:t>OT Environment assets and systems</w:t>
      </w:r>
      <w:r w:rsidR="00701854">
        <w:rPr>
          <w:i/>
          <w:iCs/>
        </w:rPr>
        <w:t>.</w:t>
      </w:r>
    </w:p>
    <w:p w14:paraId="7491037E" w14:textId="02D8A017" w:rsidR="00AB2F16" w:rsidRPr="00653908" w:rsidRDefault="00AB2F16" w:rsidP="002501CA">
      <w:pPr>
        <w:pStyle w:val="ListParagraph"/>
        <w:numPr>
          <w:ilvl w:val="0"/>
          <w:numId w:val="37"/>
        </w:numPr>
        <w:rPr>
          <w:i/>
          <w:iCs/>
        </w:rPr>
      </w:pPr>
      <w:r w:rsidRPr="00435126">
        <w:rPr>
          <w:i/>
          <w:iCs/>
        </w:rPr>
        <w:t xml:space="preserve">Each </w:t>
      </w:r>
      <w:r w:rsidR="00574A4B">
        <w:rPr>
          <w:i/>
          <w:iCs/>
        </w:rPr>
        <w:t>U</w:t>
      </w:r>
      <w:r w:rsidRPr="00435126">
        <w:rPr>
          <w:i/>
          <w:iCs/>
        </w:rPr>
        <w:t xml:space="preserve">ser shall be identified by a unique user identity </w:t>
      </w:r>
      <w:r w:rsidRPr="00F1360E">
        <w:t xml:space="preserve">linked to and </w:t>
      </w:r>
      <w:r w:rsidR="008E21BF">
        <w:t xml:space="preserve">held </w:t>
      </w:r>
      <w:r w:rsidRPr="00F1360E">
        <w:t>responsible for their actions.</w:t>
      </w:r>
    </w:p>
    <w:p w14:paraId="46DD830E" w14:textId="079639EB" w:rsidR="00653908" w:rsidRDefault="00653908" w:rsidP="002501CA">
      <w:pPr>
        <w:pStyle w:val="ListParagraph"/>
        <w:numPr>
          <w:ilvl w:val="0"/>
          <w:numId w:val="37"/>
        </w:numPr>
        <w:rPr>
          <w:i/>
          <w:iCs/>
        </w:rPr>
      </w:pPr>
      <w:r>
        <w:rPr>
          <w:i/>
          <w:iCs/>
        </w:rPr>
        <w:t>User Access shall be granted</w:t>
      </w:r>
      <w:r w:rsidR="009E6A1A">
        <w:rPr>
          <w:i/>
          <w:iCs/>
        </w:rPr>
        <w:t xml:space="preserve"> </w:t>
      </w:r>
      <w:r>
        <w:rPr>
          <w:i/>
          <w:iCs/>
        </w:rPr>
        <w:t xml:space="preserve">when there is </w:t>
      </w:r>
      <w:r w:rsidR="008E21BF">
        <w:rPr>
          <w:i/>
          <w:iCs/>
        </w:rPr>
        <w:t xml:space="preserve">a </w:t>
      </w:r>
      <w:r>
        <w:rPr>
          <w:i/>
          <w:iCs/>
        </w:rPr>
        <w:t xml:space="preserve">strong business reason for </w:t>
      </w:r>
      <w:r w:rsidR="00C62103">
        <w:rPr>
          <w:i/>
          <w:iCs/>
        </w:rPr>
        <w:t>A</w:t>
      </w:r>
      <w:r>
        <w:rPr>
          <w:i/>
          <w:iCs/>
        </w:rPr>
        <w:t>ccess.</w:t>
      </w:r>
    </w:p>
    <w:p w14:paraId="7BF1EC80" w14:textId="4F8C311B" w:rsidR="009E6A1A" w:rsidRPr="00435126" w:rsidRDefault="009E6A1A" w:rsidP="002501CA">
      <w:pPr>
        <w:pStyle w:val="ListParagraph"/>
        <w:numPr>
          <w:ilvl w:val="0"/>
          <w:numId w:val="37"/>
        </w:numPr>
        <w:rPr>
          <w:i/>
          <w:iCs/>
        </w:rPr>
      </w:pPr>
      <w:r>
        <w:rPr>
          <w:i/>
          <w:iCs/>
        </w:rPr>
        <w:t xml:space="preserve">User Access shall be revoked when there is no business reason for </w:t>
      </w:r>
      <w:r w:rsidR="00C62103">
        <w:rPr>
          <w:i/>
          <w:iCs/>
        </w:rPr>
        <w:t>A</w:t>
      </w:r>
      <w:r>
        <w:rPr>
          <w:i/>
          <w:iCs/>
        </w:rPr>
        <w:t>ccess.</w:t>
      </w:r>
    </w:p>
    <w:p w14:paraId="7A400064" w14:textId="4C9E9E13" w:rsidR="00AB2F16" w:rsidRDefault="00D64FDA" w:rsidP="002501CA">
      <w:pPr>
        <w:pStyle w:val="ListParagraph"/>
        <w:numPr>
          <w:ilvl w:val="0"/>
          <w:numId w:val="37"/>
        </w:numPr>
        <w:rPr>
          <w:i/>
          <w:iCs/>
        </w:rPr>
      </w:pPr>
      <w:r>
        <w:rPr>
          <w:i/>
          <w:iCs/>
        </w:rPr>
        <w:t>G</w:t>
      </w:r>
      <w:r w:rsidR="00AB2F16" w:rsidRPr="00435126">
        <w:rPr>
          <w:i/>
          <w:iCs/>
        </w:rPr>
        <w:t>roup identities shall only be permitted where suitable for the work carried out</w:t>
      </w:r>
      <w:r w:rsidR="00CA02A4">
        <w:rPr>
          <w:i/>
          <w:iCs/>
        </w:rPr>
        <w:t>,</w:t>
      </w:r>
      <w:r w:rsidR="00AB2F16" w:rsidRPr="00435126">
        <w:rPr>
          <w:i/>
          <w:iCs/>
        </w:rPr>
        <w:t xml:space="preserve"> e.g., OEM account.</w:t>
      </w:r>
    </w:p>
    <w:p w14:paraId="5886B436" w14:textId="763B9F56" w:rsidR="007C57CE" w:rsidRPr="00435126" w:rsidRDefault="007C57CE" w:rsidP="002501CA">
      <w:pPr>
        <w:pStyle w:val="ListParagraph"/>
        <w:numPr>
          <w:ilvl w:val="0"/>
          <w:numId w:val="37"/>
        </w:numPr>
        <w:rPr>
          <w:i/>
          <w:iCs/>
        </w:rPr>
      </w:pPr>
      <w:r>
        <w:rPr>
          <w:i/>
          <w:iCs/>
        </w:rPr>
        <w:t xml:space="preserve">User shall provide signed undertaking </w:t>
      </w:r>
      <w:r w:rsidR="00F23030">
        <w:rPr>
          <w:i/>
          <w:iCs/>
        </w:rPr>
        <w:t xml:space="preserve">during onboarding </w:t>
      </w:r>
      <w:r w:rsidR="00C71758">
        <w:rPr>
          <w:i/>
          <w:iCs/>
        </w:rPr>
        <w:t xml:space="preserve">process certifying </w:t>
      </w:r>
      <w:r w:rsidR="003529B0">
        <w:rPr>
          <w:i/>
          <w:iCs/>
        </w:rPr>
        <w:t xml:space="preserve">that User understands </w:t>
      </w:r>
      <w:r w:rsidR="00C71758">
        <w:rPr>
          <w:i/>
          <w:iCs/>
        </w:rPr>
        <w:t xml:space="preserve">all </w:t>
      </w:r>
      <w:r w:rsidR="003529B0">
        <w:rPr>
          <w:i/>
          <w:iCs/>
        </w:rPr>
        <w:t xml:space="preserve">conditions of </w:t>
      </w:r>
      <w:r w:rsidR="00C62103">
        <w:rPr>
          <w:i/>
          <w:iCs/>
        </w:rPr>
        <w:t>A</w:t>
      </w:r>
      <w:r w:rsidR="003529B0">
        <w:rPr>
          <w:i/>
          <w:iCs/>
        </w:rPr>
        <w:t>ccess</w:t>
      </w:r>
      <w:r w:rsidR="00C71758">
        <w:rPr>
          <w:i/>
          <w:iCs/>
        </w:rPr>
        <w:t>.</w:t>
      </w:r>
    </w:p>
    <w:p w14:paraId="45D235A3" w14:textId="5528C5F9" w:rsidR="00AB20A4" w:rsidRDefault="00AB20A4" w:rsidP="002501CA">
      <w:pPr>
        <w:pStyle w:val="ListParagraph"/>
        <w:numPr>
          <w:ilvl w:val="0"/>
          <w:numId w:val="37"/>
        </w:numPr>
        <w:rPr>
          <w:i/>
          <w:iCs/>
        </w:rPr>
      </w:pPr>
      <w:r w:rsidRPr="00435126">
        <w:rPr>
          <w:i/>
          <w:iCs/>
        </w:rPr>
        <w:t xml:space="preserve">All </w:t>
      </w:r>
      <w:r w:rsidR="00574A4B">
        <w:rPr>
          <w:i/>
          <w:iCs/>
        </w:rPr>
        <w:t>U</w:t>
      </w:r>
      <w:r w:rsidRPr="00435126">
        <w:rPr>
          <w:i/>
          <w:iCs/>
        </w:rPr>
        <w:t xml:space="preserve">sers shall have a unique identifier </w:t>
      </w:r>
      <w:r w:rsidR="00574A4B">
        <w:rPr>
          <w:i/>
          <w:iCs/>
        </w:rPr>
        <w:t>that</w:t>
      </w:r>
      <w:r w:rsidRPr="00435126">
        <w:rPr>
          <w:i/>
          <w:iCs/>
        </w:rPr>
        <w:t xml:space="preserve"> shall not be shared with other users.</w:t>
      </w:r>
    </w:p>
    <w:p w14:paraId="23FA30A8" w14:textId="5AE0F4E9" w:rsidR="00157F47" w:rsidRPr="0075033F" w:rsidRDefault="009D61E5" w:rsidP="00435126">
      <w:pPr>
        <w:pStyle w:val="Heading3"/>
        <w:rPr>
          <w:b/>
          <w:bCs/>
        </w:rPr>
      </w:pPr>
      <w:r w:rsidRPr="0075033F">
        <w:rPr>
          <w:b/>
          <w:bCs/>
        </w:rPr>
        <w:lastRenderedPageBreak/>
        <w:t>Physical Access</w:t>
      </w:r>
    </w:p>
    <w:p w14:paraId="50F7A919" w14:textId="4CAA0CC0" w:rsidR="00A0395B" w:rsidRPr="00435126" w:rsidRDefault="00A0395B" w:rsidP="002501CA">
      <w:pPr>
        <w:pStyle w:val="ListParagraph"/>
        <w:numPr>
          <w:ilvl w:val="0"/>
          <w:numId w:val="38"/>
        </w:numPr>
        <w:rPr>
          <w:i/>
          <w:iCs/>
        </w:rPr>
      </w:pPr>
      <w:r w:rsidRPr="00435126">
        <w:rPr>
          <w:i/>
          <w:iCs/>
        </w:rPr>
        <w:t xml:space="preserve">All NWC </w:t>
      </w:r>
      <w:r w:rsidR="008C2374">
        <w:rPr>
          <w:i/>
          <w:iCs/>
        </w:rPr>
        <w:t xml:space="preserve">OT Assets </w:t>
      </w:r>
      <w:r w:rsidRPr="00435126">
        <w:rPr>
          <w:i/>
          <w:iCs/>
        </w:rPr>
        <w:t>shall be physically protected in accordance with the Physical security policy.</w:t>
      </w:r>
    </w:p>
    <w:p w14:paraId="6F8D454D" w14:textId="6EAD28EF" w:rsidR="00E24FC6" w:rsidRDefault="009D61E5" w:rsidP="002501CA">
      <w:pPr>
        <w:pStyle w:val="ListParagraph"/>
        <w:numPr>
          <w:ilvl w:val="0"/>
          <w:numId w:val="38"/>
        </w:numPr>
        <w:rPr>
          <w:i/>
          <w:iCs/>
        </w:rPr>
      </w:pPr>
      <w:r w:rsidRPr="00435126">
        <w:rPr>
          <w:i/>
          <w:iCs/>
        </w:rPr>
        <w:t>Physical Access to critical areas</w:t>
      </w:r>
      <w:r w:rsidR="00337980">
        <w:rPr>
          <w:i/>
          <w:iCs/>
        </w:rPr>
        <w:t>/assets</w:t>
      </w:r>
      <w:r w:rsidRPr="00435126">
        <w:rPr>
          <w:i/>
          <w:iCs/>
        </w:rPr>
        <w:t xml:space="preserve"> (</w:t>
      </w:r>
      <w:r w:rsidR="008A774D">
        <w:rPr>
          <w:i/>
          <w:iCs/>
        </w:rPr>
        <w:t xml:space="preserve">Data Centers, Control Rooms, Operator Rooms, Control </w:t>
      </w:r>
      <w:r w:rsidRPr="00435126">
        <w:rPr>
          <w:i/>
          <w:iCs/>
        </w:rPr>
        <w:t>Cabinets</w:t>
      </w:r>
      <w:r w:rsidR="008A774D">
        <w:rPr>
          <w:i/>
          <w:iCs/>
        </w:rPr>
        <w:t>, PLC &amp; RTU Panels, Network Panels</w:t>
      </w:r>
      <w:r w:rsidR="00337980">
        <w:rPr>
          <w:i/>
          <w:iCs/>
        </w:rPr>
        <w:t>/Rooms,</w:t>
      </w:r>
      <w:r w:rsidRPr="00435126">
        <w:rPr>
          <w:i/>
          <w:iCs/>
        </w:rPr>
        <w:t xml:space="preserve"> etc.) shall only be granted on </w:t>
      </w:r>
      <w:r w:rsidR="00A10453">
        <w:rPr>
          <w:i/>
          <w:iCs/>
        </w:rPr>
        <w:t xml:space="preserve">a </w:t>
      </w:r>
      <w:r w:rsidRPr="00435126">
        <w:rPr>
          <w:i/>
          <w:iCs/>
        </w:rPr>
        <w:t>well-defined basis</w:t>
      </w:r>
      <w:r w:rsidR="00A84F06">
        <w:rPr>
          <w:i/>
          <w:iCs/>
        </w:rPr>
        <w:t>.</w:t>
      </w:r>
    </w:p>
    <w:p w14:paraId="589432BD" w14:textId="27D5AE73" w:rsidR="009D61E5" w:rsidRDefault="00E24FC6" w:rsidP="002501CA">
      <w:pPr>
        <w:pStyle w:val="ListParagraph"/>
        <w:numPr>
          <w:ilvl w:val="0"/>
          <w:numId w:val="38"/>
        </w:numPr>
        <w:rPr>
          <w:i/>
          <w:iCs/>
        </w:rPr>
      </w:pPr>
      <w:r w:rsidRPr="00435126">
        <w:rPr>
          <w:i/>
          <w:iCs/>
        </w:rPr>
        <w:t>Physical Access to critical areas</w:t>
      </w:r>
      <w:r>
        <w:rPr>
          <w:i/>
          <w:iCs/>
        </w:rPr>
        <w:t xml:space="preserve">/assets </w:t>
      </w:r>
      <w:r w:rsidR="009D61E5" w:rsidRPr="00435126">
        <w:rPr>
          <w:i/>
          <w:iCs/>
        </w:rPr>
        <w:t>shall be applied on a strict ‘Need to Know’ basis.</w:t>
      </w:r>
    </w:p>
    <w:p w14:paraId="4B923F8D" w14:textId="2A62B7BF" w:rsidR="00A0395B" w:rsidRPr="00435126" w:rsidRDefault="00A0395B" w:rsidP="002501CA">
      <w:pPr>
        <w:pStyle w:val="ListParagraph"/>
        <w:numPr>
          <w:ilvl w:val="0"/>
          <w:numId w:val="38"/>
        </w:numPr>
        <w:rPr>
          <w:i/>
          <w:iCs/>
        </w:rPr>
      </w:pPr>
      <w:r>
        <w:rPr>
          <w:i/>
          <w:iCs/>
        </w:rPr>
        <w:t xml:space="preserve">Physical Access </w:t>
      </w:r>
      <w:r w:rsidR="00E86066">
        <w:rPr>
          <w:i/>
          <w:iCs/>
        </w:rPr>
        <w:t>to critical areas/assets shall be logged, monitored</w:t>
      </w:r>
      <w:r w:rsidR="001769CF">
        <w:rPr>
          <w:i/>
          <w:iCs/>
        </w:rPr>
        <w:t>,</w:t>
      </w:r>
      <w:r w:rsidR="00E86066">
        <w:rPr>
          <w:i/>
          <w:iCs/>
        </w:rPr>
        <w:t xml:space="preserve"> and audited</w:t>
      </w:r>
      <w:r w:rsidR="001769CF">
        <w:rPr>
          <w:i/>
          <w:iCs/>
        </w:rPr>
        <w:t xml:space="preserve"> regularly</w:t>
      </w:r>
      <w:r w:rsidR="00E86066">
        <w:rPr>
          <w:i/>
          <w:iCs/>
        </w:rPr>
        <w:t>.</w:t>
      </w:r>
    </w:p>
    <w:p w14:paraId="12EE9F5E" w14:textId="5A2E9674" w:rsidR="00C93F6D" w:rsidRPr="0075033F" w:rsidRDefault="00C93F6D" w:rsidP="00435126">
      <w:pPr>
        <w:pStyle w:val="Heading3"/>
        <w:rPr>
          <w:b/>
          <w:bCs/>
        </w:rPr>
      </w:pPr>
      <w:r w:rsidRPr="0075033F">
        <w:rPr>
          <w:b/>
          <w:bCs/>
        </w:rPr>
        <w:t>Authentication</w:t>
      </w:r>
    </w:p>
    <w:p w14:paraId="0271131A" w14:textId="64937CB1" w:rsidR="007A785F" w:rsidRPr="00435126" w:rsidRDefault="007A785F" w:rsidP="002501CA">
      <w:pPr>
        <w:pStyle w:val="ListParagraph"/>
        <w:numPr>
          <w:ilvl w:val="0"/>
          <w:numId w:val="39"/>
        </w:numPr>
        <w:rPr>
          <w:i/>
          <w:iCs/>
        </w:rPr>
      </w:pPr>
      <w:r>
        <w:rPr>
          <w:i/>
          <w:iCs/>
        </w:rPr>
        <w:t>NWC OT Systems, Assets</w:t>
      </w:r>
      <w:r w:rsidR="00A10453">
        <w:rPr>
          <w:i/>
          <w:iCs/>
        </w:rPr>
        <w:t>,</w:t>
      </w:r>
      <w:r>
        <w:rPr>
          <w:i/>
          <w:iCs/>
        </w:rPr>
        <w:t xml:space="preserve"> and Users shall use approved access authentication mechanism where applicable with proper management approval and authorization.</w:t>
      </w:r>
    </w:p>
    <w:p w14:paraId="256A7E2D" w14:textId="1766FA0D" w:rsidR="00926E7A" w:rsidRPr="00435126" w:rsidRDefault="00926E7A" w:rsidP="002501CA">
      <w:pPr>
        <w:pStyle w:val="ListParagraph"/>
        <w:numPr>
          <w:ilvl w:val="0"/>
          <w:numId w:val="39"/>
        </w:numPr>
        <w:rPr>
          <w:i/>
          <w:iCs/>
        </w:rPr>
      </w:pPr>
      <w:r>
        <w:rPr>
          <w:i/>
          <w:iCs/>
        </w:rPr>
        <w:t xml:space="preserve">All users shall adhere to </w:t>
      </w:r>
      <w:r w:rsidR="00A52CA2">
        <w:rPr>
          <w:i/>
          <w:iCs/>
        </w:rPr>
        <w:t xml:space="preserve">NWC OT </w:t>
      </w:r>
      <w:r>
        <w:rPr>
          <w:i/>
          <w:iCs/>
        </w:rPr>
        <w:t>permit to work procedures</w:t>
      </w:r>
      <w:r w:rsidR="00A52CA2">
        <w:rPr>
          <w:i/>
          <w:iCs/>
        </w:rPr>
        <w:t>/processes</w:t>
      </w:r>
      <w:r>
        <w:rPr>
          <w:i/>
          <w:iCs/>
        </w:rPr>
        <w:t>.</w:t>
      </w:r>
    </w:p>
    <w:p w14:paraId="787D03D5" w14:textId="52A92D0F" w:rsidR="00C026E0" w:rsidRPr="00435126" w:rsidRDefault="00C026E0" w:rsidP="002501CA">
      <w:pPr>
        <w:pStyle w:val="ListParagraph"/>
        <w:numPr>
          <w:ilvl w:val="0"/>
          <w:numId w:val="39"/>
        </w:numPr>
        <w:rPr>
          <w:i/>
          <w:iCs/>
        </w:rPr>
      </w:pPr>
      <w:r w:rsidRPr="00435126">
        <w:rPr>
          <w:i/>
          <w:iCs/>
        </w:rPr>
        <w:t xml:space="preserve">All users shall change their passwords at frequent intervals </w:t>
      </w:r>
      <w:r w:rsidR="002369B0">
        <w:rPr>
          <w:i/>
          <w:iCs/>
        </w:rPr>
        <w:t>following</w:t>
      </w:r>
      <w:r w:rsidRPr="00435126">
        <w:rPr>
          <w:i/>
          <w:iCs/>
        </w:rPr>
        <w:t xml:space="preserve"> the password management policy.</w:t>
      </w:r>
    </w:p>
    <w:p w14:paraId="10C8567F" w14:textId="26E6564D" w:rsidR="00BF0A80" w:rsidRDefault="005E4854" w:rsidP="002501CA">
      <w:pPr>
        <w:pStyle w:val="ListParagraph"/>
        <w:numPr>
          <w:ilvl w:val="0"/>
          <w:numId w:val="39"/>
        </w:numPr>
        <w:rPr>
          <w:i/>
          <w:iCs/>
        </w:rPr>
      </w:pPr>
      <w:r>
        <w:rPr>
          <w:i/>
          <w:iCs/>
        </w:rPr>
        <w:t>A</w:t>
      </w:r>
      <w:r w:rsidR="00BF0A80" w:rsidRPr="00435126">
        <w:rPr>
          <w:i/>
          <w:iCs/>
        </w:rPr>
        <w:t xml:space="preserve">ll </w:t>
      </w:r>
      <w:r w:rsidR="00AE59D9">
        <w:rPr>
          <w:i/>
          <w:iCs/>
        </w:rPr>
        <w:t xml:space="preserve">default </w:t>
      </w:r>
      <w:r w:rsidR="00BF0A80" w:rsidRPr="00435126">
        <w:rPr>
          <w:i/>
          <w:iCs/>
        </w:rPr>
        <w:t>accounts</w:t>
      </w:r>
      <w:r>
        <w:rPr>
          <w:i/>
          <w:iCs/>
        </w:rPr>
        <w:t>/passwords</w:t>
      </w:r>
      <w:r w:rsidR="00BF0A80" w:rsidRPr="00435126">
        <w:rPr>
          <w:i/>
          <w:iCs/>
        </w:rPr>
        <w:t xml:space="preserve"> </w:t>
      </w:r>
      <w:r w:rsidR="00F47A32">
        <w:rPr>
          <w:i/>
          <w:iCs/>
        </w:rPr>
        <w:t xml:space="preserve">related to </w:t>
      </w:r>
      <w:r w:rsidR="00AE59D9">
        <w:rPr>
          <w:i/>
          <w:iCs/>
        </w:rPr>
        <w:t xml:space="preserve">OT Asset </w:t>
      </w:r>
      <w:r w:rsidR="00BF0A80" w:rsidRPr="00435126">
        <w:rPr>
          <w:i/>
          <w:iCs/>
        </w:rPr>
        <w:t xml:space="preserve">shall be disabled, deleted, or have their ‘default’ </w:t>
      </w:r>
      <w:r w:rsidR="00AE59D9">
        <w:rPr>
          <w:i/>
          <w:iCs/>
        </w:rPr>
        <w:t>accounts/</w:t>
      </w:r>
      <w:r w:rsidR="00BF0A80" w:rsidRPr="00435126">
        <w:rPr>
          <w:i/>
          <w:iCs/>
        </w:rPr>
        <w:t>passwords changed.</w:t>
      </w:r>
    </w:p>
    <w:p w14:paraId="0DD968C6" w14:textId="1E5DE388" w:rsidR="009D61E5" w:rsidRPr="0075033F" w:rsidRDefault="009D61E5" w:rsidP="00435126">
      <w:pPr>
        <w:pStyle w:val="Heading3"/>
        <w:rPr>
          <w:b/>
          <w:bCs/>
        </w:rPr>
      </w:pPr>
      <w:r w:rsidRPr="0075033F">
        <w:rPr>
          <w:b/>
          <w:bCs/>
        </w:rPr>
        <w:t>Log Management</w:t>
      </w:r>
    </w:p>
    <w:p w14:paraId="4DFA8EAC" w14:textId="1BF45BB6" w:rsidR="004123C7" w:rsidRDefault="004123C7" w:rsidP="002501CA">
      <w:pPr>
        <w:pStyle w:val="ListParagraph"/>
        <w:numPr>
          <w:ilvl w:val="0"/>
          <w:numId w:val="40"/>
        </w:numPr>
        <w:rPr>
          <w:i/>
          <w:iCs/>
        </w:rPr>
      </w:pPr>
      <w:r>
        <w:rPr>
          <w:i/>
          <w:iCs/>
        </w:rPr>
        <w:t xml:space="preserve">All </w:t>
      </w:r>
      <w:r w:rsidR="003875C3">
        <w:rPr>
          <w:i/>
          <w:iCs/>
        </w:rPr>
        <w:t>A</w:t>
      </w:r>
      <w:r>
        <w:rPr>
          <w:i/>
          <w:iCs/>
        </w:rPr>
        <w:t xml:space="preserve">ccess events shall be </w:t>
      </w:r>
      <w:r w:rsidR="004356A6">
        <w:rPr>
          <w:i/>
          <w:iCs/>
        </w:rPr>
        <w:t xml:space="preserve">logged/recorded </w:t>
      </w:r>
      <w:r w:rsidR="00701B68">
        <w:rPr>
          <w:i/>
          <w:iCs/>
        </w:rPr>
        <w:t xml:space="preserve">with accurate Time and Date </w:t>
      </w:r>
      <w:r w:rsidR="004356A6">
        <w:rPr>
          <w:i/>
          <w:iCs/>
        </w:rPr>
        <w:t xml:space="preserve">either </w:t>
      </w:r>
      <w:r>
        <w:rPr>
          <w:i/>
          <w:iCs/>
        </w:rPr>
        <w:t>automatic</w:t>
      </w:r>
      <w:r w:rsidR="004356A6">
        <w:rPr>
          <w:i/>
          <w:iCs/>
        </w:rPr>
        <w:t>ally</w:t>
      </w:r>
      <w:r>
        <w:rPr>
          <w:i/>
          <w:iCs/>
        </w:rPr>
        <w:t xml:space="preserve"> </w:t>
      </w:r>
      <w:r w:rsidR="004356A6">
        <w:rPr>
          <w:i/>
          <w:iCs/>
        </w:rPr>
        <w:t xml:space="preserve">or manually </w:t>
      </w:r>
      <w:r w:rsidR="003875C3">
        <w:rPr>
          <w:i/>
          <w:iCs/>
        </w:rPr>
        <w:t>(</w:t>
      </w:r>
      <w:r w:rsidR="004356A6">
        <w:rPr>
          <w:i/>
          <w:iCs/>
        </w:rPr>
        <w:t>where applicable</w:t>
      </w:r>
      <w:r w:rsidR="003875C3">
        <w:rPr>
          <w:i/>
          <w:iCs/>
        </w:rPr>
        <w:t>)</w:t>
      </w:r>
      <w:r w:rsidR="004356A6">
        <w:rPr>
          <w:i/>
          <w:iCs/>
        </w:rPr>
        <w:t>.</w:t>
      </w:r>
    </w:p>
    <w:p w14:paraId="11B6F4D6" w14:textId="3176000F" w:rsidR="00092806" w:rsidRPr="00435126" w:rsidRDefault="00092806" w:rsidP="002501CA">
      <w:pPr>
        <w:pStyle w:val="ListParagraph"/>
        <w:numPr>
          <w:ilvl w:val="0"/>
          <w:numId w:val="40"/>
        </w:numPr>
        <w:rPr>
          <w:i/>
          <w:iCs/>
        </w:rPr>
      </w:pPr>
      <w:r>
        <w:rPr>
          <w:i/>
          <w:iCs/>
        </w:rPr>
        <w:t xml:space="preserve">Systems/Asset </w:t>
      </w:r>
      <w:r w:rsidRPr="00435126">
        <w:rPr>
          <w:i/>
          <w:iCs/>
        </w:rPr>
        <w:t xml:space="preserve">Access </w:t>
      </w:r>
      <w:r>
        <w:rPr>
          <w:i/>
          <w:iCs/>
        </w:rPr>
        <w:t xml:space="preserve">Logs </w:t>
      </w:r>
      <w:r w:rsidRPr="00435126">
        <w:rPr>
          <w:i/>
          <w:iCs/>
        </w:rPr>
        <w:t xml:space="preserve">shall be </w:t>
      </w:r>
      <w:r w:rsidR="00B10C45">
        <w:rPr>
          <w:i/>
          <w:iCs/>
        </w:rPr>
        <w:t xml:space="preserve">continuously maintained and </w:t>
      </w:r>
      <w:r w:rsidRPr="00435126">
        <w:rPr>
          <w:i/>
          <w:iCs/>
        </w:rPr>
        <w:t>retained to report any unauthorized access and shall be reported as a Security Incident.</w:t>
      </w:r>
    </w:p>
    <w:p w14:paraId="1510342D" w14:textId="576DC300" w:rsidR="004356A6" w:rsidRDefault="008D5249" w:rsidP="002501CA">
      <w:pPr>
        <w:pStyle w:val="ListParagraph"/>
        <w:numPr>
          <w:ilvl w:val="0"/>
          <w:numId w:val="40"/>
        </w:numPr>
        <w:rPr>
          <w:i/>
          <w:iCs/>
        </w:rPr>
      </w:pPr>
      <w:r>
        <w:rPr>
          <w:i/>
          <w:iCs/>
        </w:rPr>
        <w:t xml:space="preserve">None shall </w:t>
      </w:r>
      <w:r w:rsidR="00F17920">
        <w:rPr>
          <w:i/>
          <w:iCs/>
        </w:rPr>
        <w:t xml:space="preserve">have </w:t>
      </w:r>
      <w:r w:rsidR="00C12AD1">
        <w:rPr>
          <w:i/>
          <w:iCs/>
        </w:rPr>
        <w:t>A</w:t>
      </w:r>
      <w:r w:rsidR="00F17920">
        <w:rPr>
          <w:i/>
          <w:iCs/>
        </w:rPr>
        <w:t xml:space="preserve">ccess &amp; </w:t>
      </w:r>
      <w:r w:rsidR="00C12AD1">
        <w:rPr>
          <w:i/>
          <w:iCs/>
        </w:rPr>
        <w:t>Rights</w:t>
      </w:r>
      <w:r w:rsidR="00F17920">
        <w:rPr>
          <w:i/>
          <w:iCs/>
        </w:rPr>
        <w:t xml:space="preserve"> to alter any </w:t>
      </w:r>
      <w:r w:rsidR="00C12AD1">
        <w:rPr>
          <w:i/>
          <w:iCs/>
        </w:rPr>
        <w:t>A</w:t>
      </w:r>
      <w:r w:rsidR="006B3F3A">
        <w:rPr>
          <w:i/>
          <w:iCs/>
        </w:rPr>
        <w:t>ccess logs/</w:t>
      </w:r>
      <w:r w:rsidR="00C12AD1">
        <w:rPr>
          <w:i/>
          <w:iCs/>
        </w:rPr>
        <w:t>R</w:t>
      </w:r>
      <w:r w:rsidR="00F17920">
        <w:rPr>
          <w:i/>
          <w:iCs/>
        </w:rPr>
        <w:t>ecords</w:t>
      </w:r>
      <w:r w:rsidR="006B3F3A">
        <w:rPr>
          <w:i/>
          <w:iCs/>
        </w:rPr>
        <w:t>.</w:t>
      </w:r>
    </w:p>
    <w:p w14:paraId="223713E6" w14:textId="6CE23AFC" w:rsidR="0093343E" w:rsidRPr="00435126" w:rsidRDefault="00A40145" w:rsidP="002501CA">
      <w:pPr>
        <w:pStyle w:val="ListParagraph"/>
        <w:numPr>
          <w:ilvl w:val="0"/>
          <w:numId w:val="40"/>
        </w:numPr>
        <w:rPr>
          <w:i/>
          <w:iCs/>
        </w:rPr>
      </w:pPr>
      <w:r>
        <w:rPr>
          <w:i/>
          <w:iCs/>
        </w:rPr>
        <w:t xml:space="preserve">Line Management </w:t>
      </w:r>
      <w:r w:rsidR="0093343E" w:rsidRPr="00435126">
        <w:rPr>
          <w:i/>
          <w:iCs/>
        </w:rPr>
        <w:t xml:space="preserve">shall review </w:t>
      </w:r>
      <w:r w:rsidR="007369E1">
        <w:rPr>
          <w:i/>
          <w:iCs/>
        </w:rPr>
        <w:t>A</w:t>
      </w:r>
      <w:r w:rsidR="0093343E" w:rsidRPr="00435126">
        <w:rPr>
          <w:i/>
          <w:iCs/>
        </w:rPr>
        <w:t xml:space="preserve">ccess </w:t>
      </w:r>
      <w:r w:rsidR="007369E1">
        <w:rPr>
          <w:i/>
          <w:iCs/>
        </w:rPr>
        <w:t>R</w:t>
      </w:r>
      <w:r w:rsidR="0093343E" w:rsidRPr="00435126">
        <w:rPr>
          <w:i/>
          <w:iCs/>
        </w:rPr>
        <w:t xml:space="preserve">ights </w:t>
      </w:r>
      <w:r w:rsidR="007369E1">
        <w:rPr>
          <w:i/>
          <w:iCs/>
        </w:rPr>
        <w:t>regularly</w:t>
      </w:r>
      <w:r w:rsidR="0093343E" w:rsidRPr="00435126">
        <w:rPr>
          <w:i/>
          <w:iCs/>
        </w:rPr>
        <w:t xml:space="preserve"> </w:t>
      </w:r>
      <w:r w:rsidR="008E7110">
        <w:rPr>
          <w:i/>
          <w:iCs/>
        </w:rPr>
        <w:t xml:space="preserve">and </w:t>
      </w:r>
      <w:r w:rsidR="0093343E" w:rsidRPr="00435126">
        <w:rPr>
          <w:i/>
          <w:iCs/>
        </w:rPr>
        <w:t xml:space="preserve">change </w:t>
      </w:r>
      <w:r w:rsidR="008E7110">
        <w:rPr>
          <w:i/>
          <w:iCs/>
        </w:rPr>
        <w:t xml:space="preserve">based on </w:t>
      </w:r>
      <w:r w:rsidR="0093343E" w:rsidRPr="00435126">
        <w:rPr>
          <w:i/>
          <w:iCs/>
        </w:rPr>
        <w:t>user roles and responsibilities.</w:t>
      </w:r>
    </w:p>
    <w:p w14:paraId="1206CEAC" w14:textId="24CABF9F" w:rsidR="00F05DB7" w:rsidRPr="002369B0" w:rsidRDefault="00BF158A" w:rsidP="00470D4F">
      <w:pPr>
        <w:pStyle w:val="ListParagraph"/>
        <w:numPr>
          <w:ilvl w:val="0"/>
          <w:numId w:val="40"/>
        </w:numPr>
        <w:spacing w:before="0" w:after="160" w:line="259" w:lineRule="auto"/>
        <w:jc w:val="left"/>
        <w:rPr>
          <w:rFonts w:cs="Calibri"/>
          <w:b/>
          <w:bCs/>
          <w:kern w:val="32"/>
        </w:rPr>
      </w:pPr>
      <w:r w:rsidRPr="002369B0">
        <w:rPr>
          <w:i/>
          <w:iCs/>
        </w:rPr>
        <w:t xml:space="preserve">A formal record of all users connected to </w:t>
      </w:r>
      <w:r w:rsidR="008837AB" w:rsidRPr="002369B0">
        <w:rPr>
          <w:i/>
          <w:iCs/>
        </w:rPr>
        <w:t xml:space="preserve">the </w:t>
      </w:r>
      <w:r w:rsidRPr="002369B0">
        <w:rPr>
          <w:i/>
          <w:iCs/>
        </w:rPr>
        <w:t>NWC system shall be maintained, including the necessary approvals.</w:t>
      </w:r>
      <w:r w:rsidR="00F05DB7">
        <w:br w:type="page"/>
      </w:r>
    </w:p>
    <w:p w14:paraId="4685069B" w14:textId="31E24BD4" w:rsidR="00CC5A49" w:rsidRDefault="00CC5A49" w:rsidP="00CC5A49">
      <w:pPr>
        <w:pStyle w:val="Heading1"/>
      </w:pPr>
      <w:bookmarkStart w:id="9" w:name="_Toc63779024"/>
      <w:bookmarkStart w:id="10" w:name="_Toc80534001"/>
      <w:r>
        <w:lastRenderedPageBreak/>
        <w:t>Compliance</w:t>
      </w:r>
      <w:bookmarkEnd w:id="9"/>
      <w:bookmarkEnd w:id="10"/>
    </w:p>
    <w:p w14:paraId="2D6FC0CC" w14:textId="0203D5A1" w:rsidR="00805EEA" w:rsidRPr="00CF3CB8" w:rsidRDefault="007D016A" w:rsidP="00F84E5D">
      <w:pPr>
        <w:pStyle w:val="ListParagraph"/>
        <w:numPr>
          <w:ilvl w:val="0"/>
          <w:numId w:val="48"/>
        </w:numPr>
        <w:rPr>
          <w:i/>
          <w:iCs/>
        </w:rPr>
      </w:pPr>
      <w:r w:rsidRPr="00CF3CB8">
        <w:rPr>
          <w:i/>
          <w:iCs/>
        </w:rPr>
        <w:t xml:space="preserve">This </w:t>
      </w:r>
      <w:r w:rsidR="00317AE9" w:rsidRPr="00CF3CB8">
        <w:rPr>
          <w:i/>
          <w:iCs/>
        </w:rPr>
        <w:t>P</w:t>
      </w:r>
      <w:r w:rsidR="00CC5A49" w:rsidRPr="00CF3CB8">
        <w:rPr>
          <w:i/>
          <w:iCs/>
        </w:rPr>
        <w:t>olicy shall be reviewed and updated regularly by the OT Cybersecurity Committee</w:t>
      </w:r>
      <w:r w:rsidR="004662C2" w:rsidRPr="00CF3CB8">
        <w:rPr>
          <w:i/>
          <w:iCs/>
        </w:rPr>
        <w:t>.</w:t>
      </w:r>
      <w:r w:rsidR="00805EEA" w:rsidRPr="00CF3CB8">
        <w:rPr>
          <w:i/>
          <w:iCs/>
        </w:rPr>
        <w:t xml:space="preserve"> NWC </w:t>
      </w:r>
      <w:r w:rsidR="004662C2" w:rsidRPr="00CF3CB8">
        <w:rPr>
          <w:i/>
          <w:iCs/>
        </w:rPr>
        <w:t>(</w:t>
      </w:r>
      <w:r w:rsidR="00805EEA" w:rsidRPr="00CF3CB8">
        <w:rPr>
          <w:i/>
          <w:iCs/>
        </w:rPr>
        <w:t>if required</w:t>
      </w:r>
      <w:r w:rsidR="004662C2" w:rsidRPr="00CF3CB8">
        <w:rPr>
          <w:i/>
          <w:iCs/>
        </w:rPr>
        <w:t>) shall</w:t>
      </w:r>
      <w:r w:rsidR="00805EEA" w:rsidRPr="00CF3CB8">
        <w:rPr>
          <w:i/>
          <w:iCs/>
        </w:rPr>
        <w:t xml:space="preserve"> ensure that it remains appropriate in the light of any relevant changes to the law, organizational policies, or contractual obligations.</w:t>
      </w:r>
    </w:p>
    <w:p w14:paraId="785B34E2" w14:textId="49B592E6" w:rsidR="00CC5A49" w:rsidRPr="00357C6E" w:rsidRDefault="007D016A" w:rsidP="00F84E5D">
      <w:pPr>
        <w:pStyle w:val="ListParagraph"/>
        <w:numPr>
          <w:ilvl w:val="0"/>
          <w:numId w:val="48"/>
        </w:numPr>
        <w:rPr>
          <w:i/>
          <w:iCs/>
        </w:rPr>
      </w:pPr>
      <w:r w:rsidRPr="00357C6E">
        <w:rPr>
          <w:i/>
          <w:iCs/>
        </w:rPr>
        <w:t xml:space="preserve">This Policy shall be reviewed and audited by </w:t>
      </w:r>
      <w:r w:rsidR="00CC5A49" w:rsidRPr="00357C6E">
        <w:rPr>
          <w:i/>
          <w:iCs/>
        </w:rPr>
        <w:t>an auditor external to National Water Company</w:t>
      </w:r>
      <w:r w:rsidR="003B369C">
        <w:rPr>
          <w:i/>
          <w:iCs/>
        </w:rPr>
        <w:t>.</w:t>
      </w:r>
      <w:r w:rsidR="00CC5A49" w:rsidRPr="00357C6E">
        <w:rPr>
          <w:i/>
          <w:iCs/>
        </w:rPr>
        <w:t xml:space="preserve"> </w:t>
      </w:r>
    </w:p>
    <w:p w14:paraId="63AF337E" w14:textId="3C443A76" w:rsidR="008C1446" w:rsidRPr="00357C6E" w:rsidRDefault="008C1446" w:rsidP="00F84E5D">
      <w:pPr>
        <w:pStyle w:val="ListParagraph"/>
        <w:numPr>
          <w:ilvl w:val="0"/>
          <w:numId w:val="48"/>
        </w:numPr>
        <w:rPr>
          <w:i/>
          <w:iCs/>
        </w:rPr>
      </w:pPr>
      <w:r w:rsidRPr="00357C6E">
        <w:rPr>
          <w:i/>
          <w:iCs/>
        </w:rPr>
        <w:t>NWC may create a</w:t>
      </w:r>
      <w:r w:rsidR="00CC5A49" w:rsidRPr="00357C6E">
        <w:rPr>
          <w:i/>
          <w:iCs/>
        </w:rPr>
        <w:t>dditional regulations to cover specific areas</w:t>
      </w:r>
      <w:r w:rsidR="00CF3CB8">
        <w:rPr>
          <w:i/>
          <w:iCs/>
        </w:rPr>
        <w:t xml:space="preserve"> beyond</w:t>
      </w:r>
      <w:r w:rsidR="006E2352">
        <w:rPr>
          <w:i/>
          <w:iCs/>
        </w:rPr>
        <w:t xml:space="preserve"> the</w:t>
      </w:r>
      <w:r w:rsidR="00CF3CB8">
        <w:rPr>
          <w:i/>
          <w:iCs/>
        </w:rPr>
        <w:t xml:space="preserve"> scope of this Policy.</w:t>
      </w:r>
    </w:p>
    <w:p w14:paraId="5E08B45E" w14:textId="79483F3E" w:rsidR="00CC5A49" w:rsidRPr="00357C6E" w:rsidRDefault="00CC5A49" w:rsidP="00F84E5D">
      <w:pPr>
        <w:pStyle w:val="ListParagraph"/>
        <w:numPr>
          <w:ilvl w:val="0"/>
          <w:numId w:val="48"/>
        </w:numPr>
        <w:rPr>
          <w:i/>
          <w:iCs/>
        </w:rPr>
      </w:pPr>
      <w:r w:rsidRPr="00357C6E">
        <w:rPr>
          <w:i/>
          <w:iCs/>
        </w:rPr>
        <w:t>OT Cybersecurity Committee comprises representatives from all relevant parts of the organization. It shall oversee the creation of cybersecurity and subsidiary policies.</w:t>
      </w:r>
    </w:p>
    <w:p w14:paraId="0EFC5424" w14:textId="3DB51F5F" w:rsidR="00CC5A49" w:rsidRDefault="00CC5A49" w:rsidP="00CC5A49">
      <w:pPr>
        <w:pStyle w:val="Heading1"/>
      </w:pPr>
      <w:bookmarkStart w:id="11" w:name="_Toc63779025"/>
      <w:bookmarkStart w:id="12" w:name="_Toc80534002"/>
      <w:r>
        <w:t>Exception Criteria</w:t>
      </w:r>
      <w:bookmarkEnd w:id="11"/>
      <w:bookmarkEnd w:id="12"/>
    </w:p>
    <w:p w14:paraId="0134A254" w14:textId="646F743C" w:rsidR="00CC5A49" w:rsidRPr="00CA38F2" w:rsidRDefault="00CC5A49" w:rsidP="00F84E5D">
      <w:pPr>
        <w:pStyle w:val="ListParagraph"/>
        <w:numPr>
          <w:ilvl w:val="0"/>
          <w:numId w:val="49"/>
        </w:numPr>
        <w:rPr>
          <w:i/>
          <w:iCs/>
        </w:rPr>
      </w:pPr>
      <w:r w:rsidRPr="00CA38F2">
        <w:rPr>
          <w:i/>
          <w:iCs/>
        </w:rPr>
        <w:t xml:space="preserve">This </w:t>
      </w:r>
      <w:r w:rsidR="00CA38F2" w:rsidRPr="00CA38F2">
        <w:rPr>
          <w:i/>
          <w:iCs/>
        </w:rPr>
        <w:t>P</w:t>
      </w:r>
      <w:r w:rsidRPr="00CA38F2">
        <w:rPr>
          <w:i/>
          <w:iCs/>
        </w:rPr>
        <w:t>olicy address</w:t>
      </w:r>
      <w:r w:rsidR="00550277">
        <w:rPr>
          <w:i/>
          <w:iCs/>
        </w:rPr>
        <w:t>es</w:t>
      </w:r>
      <w:r w:rsidRPr="00CA38F2">
        <w:rPr>
          <w:i/>
          <w:iCs/>
        </w:rPr>
        <w:t xml:space="preserve"> cyber security requirements</w:t>
      </w:r>
      <w:r w:rsidR="00CA38F2" w:rsidRPr="00CA38F2">
        <w:rPr>
          <w:i/>
          <w:iCs/>
        </w:rPr>
        <w:t xml:space="preserve"> related to Access Control</w:t>
      </w:r>
      <w:r w:rsidRPr="00CA38F2">
        <w:rPr>
          <w:i/>
          <w:iCs/>
        </w:rPr>
        <w:t>. If needed, exceptions shall be formally submitted to the OT Cybersecurity Committee, including justification and benefits attributed to the exception.</w:t>
      </w:r>
    </w:p>
    <w:p w14:paraId="203A8100" w14:textId="364E8BAA" w:rsidR="0004381A" w:rsidRDefault="00CC5A49" w:rsidP="00F84E5D">
      <w:pPr>
        <w:pStyle w:val="ListParagraph"/>
        <w:numPr>
          <w:ilvl w:val="0"/>
          <w:numId w:val="49"/>
        </w:numPr>
        <w:rPr>
          <w:i/>
          <w:iCs/>
        </w:rPr>
      </w:pPr>
      <w:r w:rsidRPr="003B369C">
        <w:rPr>
          <w:i/>
          <w:iCs/>
        </w:rPr>
        <w:t xml:space="preserve">The policy waiver period has </w:t>
      </w:r>
      <w:r w:rsidR="00BF30EB">
        <w:rPr>
          <w:i/>
          <w:iCs/>
        </w:rPr>
        <w:t xml:space="preserve">a </w:t>
      </w:r>
      <w:r w:rsidRPr="003B369C">
        <w:rPr>
          <w:i/>
          <w:iCs/>
        </w:rPr>
        <w:t>maximum period of one year and shall be re</w:t>
      </w:r>
      <w:r w:rsidR="00BF30EB">
        <w:rPr>
          <w:i/>
          <w:iCs/>
        </w:rPr>
        <w:t>-</w:t>
      </w:r>
      <w:r w:rsidRPr="003B369C">
        <w:rPr>
          <w:i/>
          <w:iCs/>
        </w:rPr>
        <w:t xml:space="preserve">assessed and re-approved, if necessary, for </w:t>
      </w:r>
      <w:r w:rsidR="0004381A">
        <w:rPr>
          <w:i/>
          <w:iCs/>
        </w:rPr>
        <w:t xml:space="preserve">a </w:t>
      </w:r>
      <w:r w:rsidRPr="003B369C">
        <w:rPr>
          <w:i/>
          <w:iCs/>
        </w:rPr>
        <w:t xml:space="preserve">maximum </w:t>
      </w:r>
      <w:r w:rsidR="00BF30EB">
        <w:rPr>
          <w:i/>
          <w:iCs/>
        </w:rPr>
        <w:t xml:space="preserve">of </w:t>
      </w:r>
      <w:r w:rsidRPr="003B369C">
        <w:rPr>
          <w:i/>
          <w:iCs/>
        </w:rPr>
        <w:t xml:space="preserve">three consecutive terms. </w:t>
      </w:r>
    </w:p>
    <w:p w14:paraId="2580B7E6" w14:textId="56D8BEE9" w:rsidR="00FE6C4E" w:rsidRPr="003B369C" w:rsidRDefault="00CC5A49" w:rsidP="00F84E5D">
      <w:pPr>
        <w:pStyle w:val="ListParagraph"/>
        <w:numPr>
          <w:ilvl w:val="0"/>
          <w:numId w:val="49"/>
        </w:numPr>
        <w:rPr>
          <w:i/>
          <w:iCs/>
        </w:rPr>
      </w:pPr>
      <w:r w:rsidRPr="003B369C">
        <w:rPr>
          <w:i/>
          <w:iCs/>
        </w:rPr>
        <w:t xml:space="preserve">No </w:t>
      </w:r>
      <w:r w:rsidR="003D7003">
        <w:rPr>
          <w:i/>
          <w:iCs/>
        </w:rPr>
        <w:t>P</w:t>
      </w:r>
      <w:r w:rsidRPr="003B369C">
        <w:rPr>
          <w:i/>
          <w:iCs/>
        </w:rPr>
        <w:t xml:space="preserve">olicy shall be provided </w:t>
      </w:r>
      <w:r w:rsidR="0004381A">
        <w:rPr>
          <w:i/>
          <w:iCs/>
        </w:rPr>
        <w:t xml:space="preserve">an </w:t>
      </w:r>
      <w:r w:rsidRPr="003B369C">
        <w:rPr>
          <w:i/>
          <w:iCs/>
        </w:rPr>
        <w:t>exception for more than three consecutive terms.</w:t>
      </w:r>
    </w:p>
    <w:sectPr w:rsidR="00FE6C4E"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4BAE4" w14:textId="77777777" w:rsidR="00B314E3" w:rsidRDefault="00B314E3" w:rsidP="00124993">
      <w:r>
        <w:separator/>
      </w:r>
    </w:p>
  </w:endnote>
  <w:endnote w:type="continuationSeparator" w:id="0">
    <w:p w14:paraId="0DC2F1EC" w14:textId="77777777" w:rsidR="00B314E3" w:rsidRDefault="00B314E3" w:rsidP="00124993">
      <w:r>
        <w:continuationSeparator/>
      </w:r>
    </w:p>
  </w:endnote>
  <w:endnote w:type="continuationNotice" w:id="1">
    <w:p w14:paraId="280D23C8" w14:textId="77777777" w:rsidR="00B314E3" w:rsidRDefault="00B31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2718" w14:textId="77777777" w:rsidR="00B314E3" w:rsidRDefault="00B314E3" w:rsidP="00124993">
      <w:r>
        <w:separator/>
      </w:r>
    </w:p>
  </w:footnote>
  <w:footnote w:type="continuationSeparator" w:id="0">
    <w:p w14:paraId="3435E859" w14:textId="77777777" w:rsidR="00B314E3" w:rsidRDefault="00B314E3" w:rsidP="00124993">
      <w:r>
        <w:continuationSeparator/>
      </w:r>
    </w:p>
  </w:footnote>
  <w:footnote w:type="continuationNotice" w:id="1">
    <w:p w14:paraId="3704BC2B" w14:textId="77777777" w:rsidR="00B314E3" w:rsidRDefault="00B314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483611DB" w:rsidR="005154CB" w:rsidRPr="00AF5CD1" w:rsidRDefault="00FF72BD" w:rsidP="005154CB">
          <w:pPr>
            <w:pStyle w:val="Heading2"/>
            <w:numPr>
              <w:ilvl w:val="0"/>
              <w:numId w:val="0"/>
            </w:numPr>
            <w:jc w:val="center"/>
            <w:rPr>
              <w:bCs/>
            </w:rPr>
          </w:pPr>
          <w:r>
            <w:rPr>
              <w:bCs/>
            </w:rPr>
            <w:t xml:space="preserve">NWC OT Cybersecurity </w:t>
          </w:r>
          <w:r w:rsidR="000E618A">
            <w:rPr>
              <w:bCs/>
            </w:rPr>
            <w:t>Access Control</w:t>
          </w:r>
          <w:r w:rsidR="000B4DE1">
            <w:rPr>
              <w:bCs/>
            </w:rPr>
            <w:t xml:space="preserve"> Policy</w:t>
          </w:r>
        </w:p>
      </w:tc>
      <w:tc>
        <w:tcPr>
          <w:tcW w:w="1730" w:type="dxa"/>
          <w:vAlign w:val="center"/>
        </w:tcPr>
        <w:p w14:paraId="7EA7D69D" w14:textId="270D9635"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0B4DE1" w:rsidRDefault="005154CB" w:rsidP="005154CB">
          <w:pPr>
            <w:pStyle w:val="Heading3"/>
            <w:numPr>
              <w:ilvl w:val="0"/>
              <w:numId w:val="0"/>
            </w:numPr>
            <w:ind w:left="60"/>
            <w:jc w:val="center"/>
            <w:rPr>
              <w:b/>
              <w:bCs/>
            </w:rPr>
          </w:pPr>
          <w:r w:rsidRPr="000B4DE1">
            <w:rPr>
              <w:b/>
              <w:bCs/>
            </w:rPr>
            <w:t>Document Type</w:t>
          </w:r>
          <w:r w:rsidR="00FF72BD" w:rsidRPr="000B4DE1">
            <w:rPr>
              <w:b/>
              <w:bCs/>
            </w:rPr>
            <w:t>: Policy</w:t>
          </w:r>
        </w:p>
      </w:tc>
      <w:tc>
        <w:tcPr>
          <w:tcW w:w="1730" w:type="dxa"/>
          <w:vMerge w:val="restart"/>
          <w:vAlign w:val="center"/>
        </w:tcPr>
        <w:p w14:paraId="07E5EA28" w14:textId="27D810EA" w:rsidR="005154CB" w:rsidRPr="00DF2CAF" w:rsidRDefault="000B4DE1"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0B4DE1" w:rsidRDefault="005154CB" w:rsidP="005154CB">
          <w:pPr>
            <w:pStyle w:val="Heading3"/>
            <w:numPr>
              <w:ilvl w:val="0"/>
              <w:numId w:val="0"/>
            </w:numPr>
            <w:ind w:left="60"/>
            <w:jc w:val="center"/>
            <w:rPr>
              <w:b/>
              <w:bCs/>
            </w:rPr>
          </w:pPr>
          <w:r w:rsidRPr="000B4DE1">
            <w:rPr>
              <w:b/>
              <w:bCs/>
            </w:rPr>
            <w:t>Document Classification</w:t>
          </w:r>
          <w:r w:rsidR="00FF72BD" w:rsidRPr="000B4DE1">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3B3133AF" w:rsidR="00471D3E" w:rsidRPr="0095478E" w:rsidRDefault="006A1E1F" w:rsidP="00DF2CAF">
          <w:pPr>
            <w:pStyle w:val="Heading2"/>
            <w:numPr>
              <w:ilvl w:val="0"/>
              <w:numId w:val="0"/>
            </w:numPr>
            <w:jc w:val="center"/>
            <w:rPr>
              <w:bCs/>
            </w:rPr>
          </w:pPr>
          <w:r w:rsidRPr="0095478E">
            <w:rPr>
              <w:bCs/>
            </w:rPr>
            <w:t xml:space="preserve">NWC OT </w:t>
          </w:r>
          <w:r w:rsidR="000312C7" w:rsidRPr="0095478E">
            <w:rPr>
              <w:bCs/>
            </w:rPr>
            <w:t>Cybers</w:t>
          </w:r>
          <w:r w:rsidR="00DF5EBB" w:rsidRPr="0095478E">
            <w:rPr>
              <w:bCs/>
            </w:rPr>
            <w:t xml:space="preserve">ecurity </w:t>
          </w:r>
          <w:r w:rsidR="000E618A" w:rsidRPr="0095478E">
            <w:rPr>
              <w:bCs/>
            </w:rPr>
            <w:t>Access Control</w:t>
          </w:r>
          <w:r w:rsidR="0095478E" w:rsidRPr="0095478E">
            <w:rPr>
              <w:bCs/>
            </w:rPr>
            <w:t xml:space="preserve"> Policy</w:t>
          </w:r>
        </w:p>
      </w:tc>
      <w:tc>
        <w:tcPr>
          <w:tcW w:w="1730" w:type="dxa"/>
          <w:vAlign w:val="center"/>
        </w:tcPr>
        <w:p w14:paraId="12C77904" w14:textId="699884FB"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60B1DC08" w:rsidR="00471D3E" w:rsidRPr="0095478E" w:rsidRDefault="00471D3E" w:rsidP="00DF2CAF">
          <w:pPr>
            <w:pStyle w:val="Heading3"/>
            <w:numPr>
              <w:ilvl w:val="0"/>
              <w:numId w:val="0"/>
            </w:numPr>
            <w:ind w:left="60"/>
            <w:jc w:val="center"/>
            <w:rPr>
              <w:b/>
              <w:bCs/>
            </w:rPr>
          </w:pPr>
          <w:r w:rsidRPr="0095478E">
            <w:rPr>
              <w:b/>
              <w:bCs/>
            </w:rPr>
            <w:t>Document Type</w:t>
          </w:r>
          <w:r w:rsidR="00DF5EBB" w:rsidRPr="0095478E">
            <w:rPr>
              <w:b/>
              <w:bCs/>
            </w:rPr>
            <w:t xml:space="preserve">: </w:t>
          </w:r>
          <w:r w:rsidR="002734CD" w:rsidRPr="0095478E">
            <w:rPr>
              <w:b/>
              <w:bCs/>
            </w:rPr>
            <w:t>Polic</w:t>
          </w:r>
          <w:r w:rsidR="000E618A" w:rsidRPr="0095478E">
            <w:rPr>
              <w:b/>
              <w:bCs/>
            </w:rPr>
            <w:t>y</w:t>
          </w:r>
        </w:p>
      </w:tc>
      <w:tc>
        <w:tcPr>
          <w:tcW w:w="1730" w:type="dxa"/>
          <w:vMerge w:val="restart"/>
          <w:vAlign w:val="center"/>
        </w:tcPr>
        <w:p w14:paraId="323D3943" w14:textId="469A69DB" w:rsidR="00471D3E" w:rsidRPr="00DF2CAF" w:rsidRDefault="0095478E"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95478E" w:rsidRDefault="00471D3E" w:rsidP="00DF2CAF">
          <w:pPr>
            <w:pStyle w:val="Heading3"/>
            <w:numPr>
              <w:ilvl w:val="0"/>
              <w:numId w:val="0"/>
            </w:numPr>
            <w:ind w:left="60"/>
            <w:jc w:val="center"/>
            <w:rPr>
              <w:b/>
              <w:bCs/>
            </w:rPr>
          </w:pPr>
          <w:r w:rsidRPr="0095478E">
            <w:rPr>
              <w:b/>
              <w:bCs/>
            </w:rPr>
            <w:t>Document Classification</w:t>
          </w:r>
          <w:r w:rsidR="00DF5EBB" w:rsidRPr="0095478E">
            <w:rPr>
              <w:b/>
              <w:bCs/>
            </w:rPr>
            <w:t xml:space="preserve">: </w:t>
          </w:r>
          <w:r w:rsidR="002734CD" w:rsidRPr="0095478E">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B1979"/>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87007"/>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4"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4"/>
  </w:num>
  <w:num w:numId="4">
    <w:abstractNumId w:val="28"/>
  </w:num>
  <w:num w:numId="5">
    <w:abstractNumId w:val="14"/>
  </w:num>
  <w:num w:numId="6">
    <w:abstractNumId w:val="20"/>
  </w:num>
  <w:num w:numId="7">
    <w:abstractNumId w:val="42"/>
  </w:num>
  <w:num w:numId="8">
    <w:abstractNumId w:val="30"/>
  </w:num>
  <w:num w:numId="9">
    <w:abstractNumId w:val="3"/>
  </w:num>
  <w:num w:numId="10">
    <w:abstractNumId w:val="45"/>
  </w:num>
  <w:num w:numId="11">
    <w:abstractNumId w:val="40"/>
  </w:num>
  <w:num w:numId="12">
    <w:abstractNumId w:val="1"/>
  </w:num>
  <w:num w:numId="13">
    <w:abstractNumId w:val="27"/>
  </w:num>
  <w:num w:numId="14">
    <w:abstractNumId w:val="22"/>
  </w:num>
  <w:num w:numId="15">
    <w:abstractNumId w:val="8"/>
  </w:num>
  <w:num w:numId="16">
    <w:abstractNumId w:val="36"/>
  </w:num>
  <w:num w:numId="17">
    <w:abstractNumId w:val="25"/>
  </w:num>
  <w:num w:numId="18">
    <w:abstractNumId w:val="23"/>
  </w:num>
  <w:num w:numId="19">
    <w:abstractNumId w:val="19"/>
  </w:num>
  <w:num w:numId="20">
    <w:abstractNumId w:val="39"/>
  </w:num>
  <w:num w:numId="21">
    <w:abstractNumId w:val="35"/>
  </w:num>
  <w:num w:numId="22">
    <w:abstractNumId w:val="38"/>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6"/>
  </w:num>
  <w:num w:numId="31">
    <w:abstractNumId w:val="32"/>
  </w:num>
  <w:num w:numId="32">
    <w:abstractNumId w:val="2"/>
  </w:num>
  <w:num w:numId="33">
    <w:abstractNumId w:val="44"/>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1"/>
  </w:num>
  <w:num w:numId="38">
    <w:abstractNumId w:val="9"/>
  </w:num>
  <w:num w:numId="39">
    <w:abstractNumId w:val="29"/>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3"/>
  </w:num>
  <w:num w:numId="46">
    <w:abstractNumId w:val="24"/>
  </w:num>
  <w:num w:numId="47">
    <w:abstractNumId w:val="41"/>
  </w:num>
  <w:num w:numId="48">
    <w:abstractNumId w:val="33"/>
  </w:num>
  <w:num w:numId="49">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mwrAUApFU7P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12C7"/>
    <w:rsid w:val="000321E8"/>
    <w:rsid w:val="0003240D"/>
    <w:rsid w:val="00032486"/>
    <w:rsid w:val="0003412D"/>
    <w:rsid w:val="00034D9D"/>
    <w:rsid w:val="000352F3"/>
    <w:rsid w:val="00035B22"/>
    <w:rsid w:val="0003738E"/>
    <w:rsid w:val="00042B08"/>
    <w:rsid w:val="0004381A"/>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5D9"/>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4DE1"/>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18A"/>
    <w:rsid w:val="000E62FA"/>
    <w:rsid w:val="000E7DDA"/>
    <w:rsid w:val="000F10B8"/>
    <w:rsid w:val="000F1771"/>
    <w:rsid w:val="000F188C"/>
    <w:rsid w:val="000F1CB4"/>
    <w:rsid w:val="000F238C"/>
    <w:rsid w:val="000F560A"/>
    <w:rsid w:val="000F61A7"/>
    <w:rsid w:val="000F631B"/>
    <w:rsid w:val="000F7465"/>
    <w:rsid w:val="00101A22"/>
    <w:rsid w:val="001041C2"/>
    <w:rsid w:val="0011131F"/>
    <w:rsid w:val="001130CF"/>
    <w:rsid w:val="0011332E"/>
    <w:rsid w:val="00114883"/>
    <w:rsid w:val="00114E33"/>
    <w:rsid w:val="001150A9"/>
    <w:rsid w:val="00117CC8"/>
    <w:rsid w:val="00122ACB"/>
    <w:rsid w:val="001238BB"/>
    <w:rsid w:val="00124993"/>
    <w:rsid w:val="00125A0D"/>
    <w:rsid w:val="0012785B"/>
    <w:rsid w:val="001300B6"/>
    <w:rsid w:val="001307E4"/>
    <w:rsid w:val="001323C5"/>
    <w:rsid w:val="0013379A"/>
    <w:rsid w:val="00134D17"/>
    <w:rsid w:val="00135808"/>
    <w:rsid w:val="00140D9B"/>
    <w:rsid w:val="00141B87"/>
    <w:rsid w:val="00142761"/>
    <w:rsid w:val="00142D45"/>
    <w:rsid w:val="00143224"/>
    <w:rsid w:val="0014414F"/>
    <w:rsid w:val="00144318"/>
    <w:rsid w:val="00145047"/>
    <w:rsid w:val="00145253"/>
    <w:rsid w:val="0014542D"/>
    <w:rsid w:val="0014575C"/>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4304"/>
    <w:rsid w:val="001B66D5"/>
    <w:rsid w:val="001B6EDD"/>
    <w:rsid w:val="001B7E35"/>
    <w:rsid w:val="001C2E66"/>
    <w:rsid w:val="001C460F"/>
    <w:rsid w:val="001C488E"/>
    <w:rsid w:val="001C5D00"/>
    <w:rsid w:val="001C607D"/>
    <w:rsid w:val="001C6D6A"/>
    <w:rsid w:val="001D0770"/>
    <w:rsid w:val="001D1453"/>
    <w:rsid w:val="001D2207"/>
    <w:rsid w:val="001D3AFB"/>
    <w:rsid w:val="001D59B5"/>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9B0"/>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BDB"/>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17AE9"/>
    <w:rsid w:val="003217D8"/>
    <w:rsid w:val="003244BC"/>
    <w:rsid w:val="00330065"/>
    <w:rsid w:val="00330773"/>
    <w:rsid w:val="003309DD"/>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57C6E"/>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6BF"/>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69C"/>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003"/>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2C2"/>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3AAE"/>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277"/>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74A4B"/>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45B"/>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376BB"/>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71B"/>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2352"/>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A92"/>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16A"/>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5EEA"/>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0C8"/>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1446"/>
    <w:rsid w:val="008C22C3"/>
    <w:rsid w:val="008C2374"/>
    <w:rsid w:val="008C28B3"/>
    <w:rsid w:val="008C3D4D"/>
    <w:rsid w:val="008C4090"/>
    <w:rsid w:val="008C411E"/>
    <w:rsid w:val="008C45A5"/>
    <w:rsid w:val="008C4607"/>
    <w:rsid w:val="008C6FA8"/>
    <w:rsid w:val="008C7098"/>
    <w:rsid w:val="008C799E"/>
    <w:rsid w:val="008D3397"/>
    <w:rsid w:val="008D3E95"/>
    <w:rsid w:val="008D5249"/>
    <w:rsid w:val="008D54FD"/>
    <w:rsid w:val="008D708C"/>
    <w:rsid w:val="008D7A26"/>
    <w:rsid w:val="008E1F27"/>
    <w:rsid w:val="008E1FD0"/>
    <w:rsid w:val="008E21BF"/>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C75"/>
    <w:rsid w:val="00953F8D"/>
    <w:rsid w:val="0095478E"/>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068"/>
    <w:rsid w:val="00A95C76"/>
    <w:rsid w:val="00A96157"/>
    <w:rsid w:val="00A966D2"/>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14E3"/>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30EB"/>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103"/>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6DC4"/>
    <w:rsid w:val="00C979EC"/>
    <w:rsid w:val="00C97A44"/>
    <w:rsid w:val="00C97A46"/>
    <w:rsid w:val="00CA02A4"/>
    <w:rsid w:val="00CA1DF0"/>
    <w:rsid w:val="00CA38F2"/>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3CB8"/>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9A2"/>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4E5D"/>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0FE"/>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3B37-AB10-45E5-AE46-9AE9746652F9}"/>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14</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408</cp:revision>
  <dcterms:created xsi:type="dcterms:W3CDTF">2021-08-19T07:43:00Z</dcterms:created>
  <dcterms:modified xsi:type="dcterms:W3CDTF">2021-08-22T10:02:00Z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ba69a20e-9e35-4e39-9ff3-22c2891d01f9</vt:lpwstr>
  </property>
  <property fmtid="{D5CDD505-2E9C-101B-9397-08002B2CF9AE}" pid="9" name="MSIP_Label_a55f8055-b15c-478e-ac40-d29c8b2ca352_ContentBits">
    <vt:lpwstr>0</vt:lpwstr>
  </property>
</Properties>
</file>