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bidi w:val="1"/>
      </w:pPr>
      <w:r>
        <w:rPr>
          <w:rFonts w:ascii="Noto Sans Arabic" w:hAnsi="Noto Sans Arabic" w:eastAsia="Noto Sans Arabic" w:cs="Noto Sans Arabic"/>
          <w:b/>
          <w:color w:val="0D2B36"/>
          <w:sz w:val="68"/>
        </w:rPr>
        <w:t>نضج MCM</w:t>
      </w:r>
    </w:p>
    <w:p>
      <w:pPr>
        <w:jc w:val="center"/>
        <w:bidi w:val="1"/>
      </w:pPr>
      <w:r>
        <w:rPr>
          <w:rFonts w:ascii="Noto Sans Arabic" w:hAnsi="Noto Sans Arabic" w:eastAsia="Noto Sans Arabic" w:cs="Noto Sans Arabic"/>
          <w:b/>
          <w:color w:val="18A999"/>
          <w:sz w:val="40"/>
        </w:rPr>
        <w:t>منصة قياس النضج الاتصالي التسويقي</w:t>
      </w:r>
    </w:p>
    <w:p>
      <w:pPr>
        <w:jc w:val="center"/>
        <w:bidi w:val="1"/>
      </w:pPr>
      <w:r>
        <w:rPr>
          <w:rFonts w:ascii="DejaVu Sans" w:hAnsi="DejaVu Sans" w:eastAsia="DejaVu Sans" w:cs="DejaVu Sans"/>
          <w:b w:val="0"/>
          <w:color w:val="0F4C5C"/>
          <w:sz w:val="26"/>
        </w:rPr>
        <w:t>Marketing Communication Maturity</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016"/>
            <w:shd w:fill="0D2B36"/>
          </w:tcPr>
          <w:p/>
        </w:tc>
        <w:tc>
          <w:tcPr>
            <w:tcW w:type="dxa" w:w="2016"/>
            <w:shd w:fill="18A999"/>
          </w:tcPr>
          <w:p/>
        </w:tc>
        <w:tc>
          <w:tcPr>
            <w:tcW w:type="dxa" w:w="2016"/>
            <w:shd w:fill="8BCB7C"/>
          </w:tcPr>
          <w:p/>
        </w:tc>
      </w:tr>
    </w:tbl>
    <w:p>
      <w:pPr>
        <w:spacing w:before="560"/>
        <w:jc w:val="center"/>
        <w:bidi w:val="1"/>
      </w:pPr>
      <w:r>
        <w:rPr>
          <w:rFonts w:ascii="Noto Sans Arabic" w:hAnsi="Noto Sans Arabic" w:eastAsia="Noto Sans Arabic" w:cs="Noto Sans Arabic"/>
          <w:b/>
          <w:color w:val="1F2937"/>
          <w:sz w:val="28"/>
        </w:rPr>
        <w:t>وثيقة متطلبات المنتج + المتطلبات التقنية + مواصفات التطوير</w:t>
      </w:r>
    </w:p>
    <w:p>
      <w:pPr>
        <w:jc w:val="center"/>
        <w:bidi w:val="1"/>
      </w:pPr>
      <w:r>
        <w:rPr>
          <w:rFonts w:ascii="Noto Sans Arabic" w:hAnsi="Noto Sans Arabic" w:eastAsia="Noto Sans Arabic" w:cs="Noto Sans Arabic"/>
          <w:b w:val="0"/>
          <w:color w:val="6B7280"/>
          <w:sz w:val="20"/>
        </w:rPr>
        <w:t>معدة لتسليمها للمبرمج / Visual Studio / GitHub Copilot</w:t>
      </w:r>
    </w:p>
    <w:p>
      <w:pPr>
        <w:spacing w:before="2200"/>
        <w:jc w:val="center"/>
        <w:bidi w:val="1"/>
      </w:pPr>
      <w:r>
        <w:rPr>
          <w:rFonts w:ascii="Noto Sans Arabic" w:hAnsi="Noto Sans Arabic" w:eastAsia="Noto Sans Arabic" w:cs="Noto Sans Arabic"/>
          <w:b/>
          <w:color w:val="0F4C5C"/>
          <w:sz w:val="20"/>
        </w:rPr>
        <w:t>الإصدار: 1.0 — Research Beta Specification</w:t>
      </w:r>
    </w:p>
    <w:p>
      <w:pPr>
        <w:jc w:val="center"/>
        <w:bidi w:val="1"/>
      </w:pPr>
      <w:r>
        <w:rPr>
          <w:rFonts w:ascii="Noto Sans Arabic" w:hAnsi="Noto Sans Arabic" w:eastAsia="Noto Sans Arabic" w:cs="Noto Sans Arabic"/>
          <w:b w:val="0"/>
          <w:color w:val="6B7280"/>
          <w:sz w:val="18"/>
        </w:rPr>
        <w:t>أغسطس 2026</w:t>
      </w:r>
    </w:p>
    <w:p>
      <w:r>
        <w:rPr>
          <w:rFonts w:ascii="Noto Sans Arabic" w:hAnsi="Noto Sans Arabic" w:eastAsia="Noto Sans Arabic" w:cs="Noto Sans Arabic"/>
        </w:rPr>
        <w:br w:type="page"/>
      </w:r>
    </w:p>
    <w:p>
      <w:pPr>
        <w:pStyle w:val="Heading1"/>
        <w:bidi w:val="1"/>
        <w:spacing w:before="160" w:after="160"/>
        <w:jc w:val="right"/>
      </w:pPr>
      <w:r>
        <w:rPr>
          <w:rFonts w:ascii="Noto Sans Arabic" w:hAnsi="Noto Sans Arabic" w:eastAsia="Noto Sans Arabic" w:cs="Noto Sans Arabic"/>
        </w:rPr>
        <w:t>1. الغرض من الوثيقة</w:t>
      </w:r>
    </w:p>
    <w:p>
      <w:pPr>
        <w:bidi w:val="1"/>
        <w:spacing w:after="100" w:before="0" w:line="288" w:lineRule="auto"/>
        <w:jc w:val="both"/>
      </w:pPr>
      <w:r>
        <w:rPr>
          <w:rFonts w:ascii="Noto Sans Arabic" w:hAnsi="Noto Sans Arabic" w:eastAsia="Noto Sans Arabic" w:cs="Noto Sans Arabic"/>
          <w:b w:val="0"/>
          <w:color w:val="1F2937"/>
          <w:sz w:val="21"/>
        </w:rPr>
        <w:t>هذه الوثيقة هي المواصفة المرجعية لبناء منصة «نضج MCM» كمنتج رقمي B2B للقياس والتشخيص والتطوير، مع طبقة بحثية مستقلة تسمح للباحث بإدارة أداة القياس واستخراج البيانات للتحليل العلمي. الهدف هو تمكين فريق التطوير من تنفيذ المنصة بصورة صحيحة دون اختراع مكونات علمية أو تثبيت أسئلة وأوزان في الكود.</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تنبيه منهجي</w:t>
              <w:br/>
            </w:r>
            <w:r>
              <w:rPr>
                <w:rFonts w:ascii="Noto Sans Arabic" w:hAnsi="Noto Sans Arabic" w:eastAsia="Noto Sans Arabic" w:cs="Noto Sans Arabic"/>
                <w:b w:val="0"/>
                <w:color w:val="1F2937"/>
                <w:sz w:val="19"/>
              </w:rPr>
              <w:t>النموذج الحالي Research Beta / Provisional Model. الأبعاد الناتجة من التحليل النوعي الاصطناعي هي إطار أولي للاختبار وليست مقياسًا علميًا مُثبت الصدق والثبات بعد. لذلك يجب بناء المنصة بحيث تكون الأسئلة والأوزان وحدود مستويات النضج والإصدارات قابلة للتعديل من قاعدة البيانات.</w:t>
            </w:r>
          </w:p>
        </w:tc>
      </w:tr>
    </w:tbl>
    <w:p>
      <w:pPr>
        <w:pStyle w:val="Heading1"/>
        <w:bidi w:val="1"/>
        <w:spacing w:before="160" w:after="160"/>
        <w:jc w:val="right"/>
      </w:pPr>
      <w:r>
        <w:rPr>
          <w:rFonts w:ascii="Noto Sans Arabic" w:hAnsi="Noto Sans Arabic" w:eastAsia="Noto Sans Arabic" w:cs="Noto Sans Arabic"/>
        </w:rPr>
        <w:t>2. تعريف المنتج</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العنصر</w:t>
            </w:r>
          </w:p>
        </w:tc>
        <w:tc>
          <w:tcPr>
            <w:tcW w:type="dxa" w:w="691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التعريف</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اسم المنصة</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نضج MCM</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الاسم الإنجليزي</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MCM – Marketing Communication Maturity</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الفئة</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B2B Research &amp; Consulting SaaS</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اللغة الأساسية</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العربية RTL</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اللغة الثانية</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English LTR</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حالة النموذج</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Research Beta / Provisional</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الهدف</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قياس النضج الاتصالي التسويقي وتحويل النتائج إلى تشخيص وخطة تحسين قابلة للتنفيذ</w:t>
            </w:r>
          </w:p>
        </w:tc>
      </w:tr>
    </w:tbl>
    <w:p>
      <w:pPr>
        <w:spacing w:after="40"/>
      </w:pPr>
    </w:p>
    <w:p>
      <w:pPr>
        <w:pStyle w:val="Heading2"/>
        <w:bidi w:val="1"/>
        <w:spacing w:before="160" w:after="100"/>
        <w:jc w:val="right"/>
      </w:pPr>
      <w:r>
        <w:rPr>
          <w:rFonts w:ascii="Noto Sans Arabic" w:hAnsi="Noto Sans Arabic" w:eastAsia="Noto Sans Arabic" w:cs="Noto Sans Arabic"/>
        </w:rPr>
        <w:t>2.1 الوظائف الأساسية</w:t>
      </w:r>
    </w:p>
    <w:p>
      <w:pPr>
        <w:bidi w:val="1"/>
        <w:spacing w:after="40" w:before="0" w:line="276" w:lineRule="auto"/>
        <w:ind w:right="0"/>
        <w:jc w:val="right"/>
      </w:pPr>
      <w:r>
        <w:rPr>
          <w:rFonts w:ascii="Noto Sans Arabic" w:hAnsi="Noto Sans Arabic" w:eastAsia="Noto Sans Arabic" w:cs="Noto Sans Arabic"/>
          <w:b w:val="0"/>
          <w:color w:val="1F2937"/>
          <w:sz w:val="20"/>
        </w:rPr>
        <w:t>• قياس مستوى نضج الاتصال التسويقي في المنظمة.</w:t>
      </w:r>
    </w:p>
    <w:p>
      <w:pPr>
        <w:bidi w:val="1"/>
        <w:spacing w:after="40" w:before="0" w:line="276" w:lineRule="auto"/>
        <w:ind w:right="0"/>
        <w:jc w:val="right"/>
      </w:pPr>
      <w:r>
        <w:rPr>
          <w:rFonts w:ascii="Noto Sans Arabic" w:hAnsi="Noto Sans Arabic" w:eastAsia="Noto Sans Arabic" w:cs="Noto Sans Arabic"/>
          <w:b w:val="0"/>
          <w:color w:val="1F2937"/>
          <w:sz w:val="20"/>
        </w:rPr>
        <w:t>• تشخيص نقاط القوة والضعف والفجوات.</w:t>
      </w:r>
    </w:p>
    <w:p>
      <w:pPr>
        <w:bidi w:val="1"/>
        <w:spacing w:after="40" w:before="0" w:line="276" w:lineRule="auto"/>
        <w:ind w:right="0"/>
        <w:jc w:val="right"/>
      </w:pPr>
      <w:r>
        <w:rPr>
          <w:rFonts w:ascii="Noto Sans Arabic" w:hAnsi="Noto Sans Arabic" w:eastAsia="Noto Sans Arabic" w:cs="Noto Sans Arabic"/>
          <w:b w:val="0"/>
          <w:color w:val="1F2937"/>
          <w:sz w:val="20"/>
        </w:rPr>
        <w:t>• تحليل العلاقات بين أبعاد النضج المختلفة.</w:t>
      </w:r>
    </w:p>
    <w:p>
      <w:pPr>
        <w:bidi w:val="1"/>
        <w:spacing w:after="40" w:before="0" w:line="276" w:lineRule="auto"/>
        <w:ind w:right="0"/>
        <w:jc w:val="right"/>
      </w:pPr>
      <w:r>
        <w:rPr>
          <w:rFonts w:ascii="Noto Sans Arabic" w:hAnsi="Noto Sans Arabic" w:eastAsia="Noto Sans Arabic" w:cs="Noto Sans Arabic"/>
          <w:b w:val="0"/>
          <w:color w:val="1F2937"/>
          <w:sz w:val="20"/>
        </w:rPr>
        <w:t>• قياس كفاءة الاتصال عبر وسائل التواصل الاجتماعي SMCE بصورة مستقلة.</w:t>
      </w:r>
    </w:p>
    <w:p>
      <w:pPr>
        <w:bidi w:val="1"/>
        <w:spacing w:after="40" w:before="0" w:line="276" w:lineRule="auto"/>
        <w:ind w:right="0"/>
        <w:jc w:val="right"/>
      </w:pPr>
      <w:r>
        <w:rPr>
          <w:rFonts w:ascii="Noto Sans Arabic" w:hAnsi="Noto Sans Arabic" w:eastAsia="Noto Sans Arabic" w:cs="Noto Sans Arabic"/>
          <w:b w:val="0"/>
          <w:color w:val="1F2937"/>
          <w:sz w:val="20"/>
        </w:rPr>
        <w:t>• تقديم توصيات تطوير عملية مرتبطة بالمشكلة والأولوية.</w:t>
      </w:r>
    </w:p>
    <w:p>
      <w:pPr>
        <w:bidi w:val="1"/>
        <w:spacing w:after="40" w:before="0" w:line="276" w:lineRule="auto"/>
        <w:ind w:right="0"/>
        <w:jc w:val="right"/>
      </w:pPr>
      <w:r>
        <w:rPr>
          <w:rFonts w:ascii="Noto Sans Arabic" w:hAnsi="Noto Sans Arabic" w:eastAsia="Noto Sans Arabic" w:cs="Noto Sans Arabic"/>
          <w:b w:val="0"/>
          <w:color w:val="1F2937"/>
          <w:sz w:val="20"/>
        </w:rPr>
        <w:t>• إنشاء خارطة تحسين 30 / 90 / 180 يومًا.</w:t>
      </w:r>
    </w:p>
    <w:p>
      <w:pPr>
        <w:bidi w:val="1"/>
        <w:spacing w:after="40" w:before="0" w:line="276" w:lineRule="auto"/>
        <w:ind w:right="0"/>
        <w:jc w:val="right"/>
      </w:pPr>
      <w:r>
        <w:rPr>
          <w:rFonts w:ascii="Noto Sans Arabic" w:hAnsi="Noto Sans Arabic" w:eastAsia="Noto Sans Arabic" w:cs="Noto Sans Arabic"/>
          <w:b w:val="0"/>
          <w:color w:val="1F2937"/>
          <w:sz w:val="20"/>
        </w:rPr>
        <w:t>• إتاحة Benchmarking عند توفر عينة كافية.</w:t>
      </w:r>
    </w:p>
    <w:p>
      <w:pPr>
        <w:bidi w:val="1"/>
        <w:spacing w:after="40" w:before="0" w:line="276" w:lineRule="auto"/>
        <w:ind w:right="0"/>
        <w:jc w:val="right"/>
      </w:pPr>
      <w:r>
        <w:rPr>
          <w:rFonts w:ascii="Noto Sans Arabic" w:hAnsi="Noto Sans Arabic" w:eastAsia="Noto Sans Arabic" w:cs="Noto Sans Arabic"/>
          <w:b w:val="0"/>
          <w:color w:val="1F2937"/>
          <w:sz w:val="20"/>
        </w:rPr>
        <w:t>• تمكين إعادة التقييم ومراقبة التطور بمرور الزمن.</w:t>
      </w:r>
    </w:p>
    <w:p>
      <w:pPr>
        <w:bidi w:val="1"/>
        <w:spacing w:after="40" w:before="0" w:line="276" w:lineRule="auto"/>
        <w:ind w:right="0"/>
        <w:jc w:val="right"/>
      </w:pPr>
      <w:r>
        <w:rPr>
          <w:rFonts w:ascii="Noto Sans Arabic" w:hAnsi="Noto Sans Arabic" w:eastAsia="Noto Sans Arabic" w:cs="Noto Sans Arabic"/>
          <w:b w:val="0"/>
          <w:color w:val="1F2937"/>
          <w:sz w:val="20"/>
        </w:rPr>
        <w:t>• تمكين الباحث من استخراج البيانات الخام والمشفرة.</w:t>
      </w:r>
    </w:p>
    <w:p>
      <w:pPr>
        <w:bidi w:val="1"/>
        <w:spacing w:after="40" w:before="0" w:line="276" w:lineRule="auto"/>
        <w:ind w:right="0"/>
        <w:jc w:val="right"/>
      </w:pPr>
      <w:r>
        <w:rPr>
          <w:rFonts w:ascii="Noto Sans Arabic" w:hAnsi="Noto Sans Arabic" w:eastAsia="Noto Sans Arabic" w:cs="Noto Sans Arabic"/>
          <w:b w:val="0"/>
          <w:color w:val="1F2937"/>
          <w:sz w:val="20"/>
        </w:rPr>
        <w:t>• تصدير Excel وSPSS مع Codebook وMetadata.</w:t>
      </w:r>
    </w:p>
    <w:p>
      <w:pPr>
        <w:pStyle w:val="Heading1"/>
        <w:bidi w:val="1"/>
        <w:spacing w:before="160" w:after="160"/>
        <w:jc w:val="right"/>
      </w:pPr>
      <w:r>
        <w:rPr>
          <w:rFonts w:ascii="Noto Sans Arabic" w:hAnsi="Noto Sans Arabic" w:eastAsia="Noto Sans Arabic" w:cs="Noto Sans Arabic"/>
        </w:rPr>
        <w:t>3. المعمار العلمي للمنصة</w:t>
      </w:r>
    </w:p>
    <w:p>
      <w:pPr>
        <w:bidi w:val="1"/>
        <w:spacing w:after="100" w:before="0" w:line="288" w:lineRule="auto"/>
        <w:jc w:val="both"/>
      </w:pPr>
      <w:r>
        <w:rPr>
          <w:rFonts w:ascii="Noto Sans Arabic" w:hAnsi="Noto Sans Arabic" w:eastAsia="Noto Sans Arabic" w:cs="Noto Sans Arabic"/>
          <w:b w:val="0"/>
          <w:color w:val="1F2937"/>
          <w:sz w:val="21"/>
        </w:rPr>
        <w:t>يجب ألا تدمج المنصة المتغيرات الثلاثة في درجة واحدة. المعمار العلمي يعتمد الفصل بين العوامل التنظيمية الممكّنة، وقدرة النضج الاتصالي التسويقي، ونتائج كفاءة الاتصال عبر وسائل التواصل الاجتماعي.</w:t>
      </w:r>
    </w:p>
    <w:p>
      <w:pPr>
        <w:pStyle w:val="CodeBlock"/>
        <w:spacing w:after="120"/>
        <w:ind w:left="259" w:right="259"/>
        <w:jc w:val="left"/>
        <w:shd w:fill="F2F5F7"/>
      </w:pPr>
      <w:r>
        <w:rPr>
          <w:rFonts w:ascii="DejaVu Sans" w:hAnsi="DejaVu Sans" w:eastAsia="DejaVu Sans" w:cs="DejaVu Sans"/>
          <w:b w:val="0"/>
          <w:color w:val="1F2937"/>
          <w:sz w:val="17"/>
        </w:rPr>
        <w:t>Organisational Enablers / Context</w:t>
        <w:br/>
        <w:t xml:space="preserve">        ↓</w:t>
        <w:br/>
        <w:t>Marketing Communication Maturity (MCM)</w:t>
        <w:br/>
        <w:t xml:space="preserve">        ↓</w:t>
        <w:br/>
        <w:t>Social Media Communication Efficiency (SMCE)</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قاعدة تصميم علمية</w:t>
              <w:br/>
            </w:r>
            <w:r>
              <w:rPr>
                <w:rFonts w:ascii="Noto Sans Arabic" w:hAnsi="Noto Sans Arabic" w:eastAsia="Noto Sans Arabic" w:cs="Noto Sans Arabic"/>
                <w:b w:val="0"/>
                <w:color w:val="1F2937"/>
                <w:sz w:val="19"/>
              </w:rPr>
              <w:t>العوامل التنظيمية والسياق لا تدخل تلقائيًا في درجة MCM، وSMCE لا يدخل في درجة MCM؛ بل يُعامل كنتيجة Downstream Outcome.</w:t>
            </w:r>
          </w:p>
        </w:tc>
      </w:tr>
    </w:tbl>
    <w:p>
      <w:pPr>
        <w:pStyle w:val="Heading1"/>
        <w:bidi w:val="1"/>
        <w:spacing w:before="160" w:after="160"/>
        <w:jc w:val="right"/>
      </w:pPr>
      <w:r>
        <w:rPr>
          <w:rFonts w:ascii="Noto Sans Arabic" w:hAnsi="Noto Sans Arabic" w:eastAsia="Noto Sans Arabic" w:cs="Noto Sans Arabic"/>
        </w:rPr>
        <w:t>4. أبعاد Marketing Communication Maturity — MCM</w:t>
      </w:r>
    </w:p>
    <w:p>
      <w:pPr>
        <w:pStyle w:val="Heading2"/>
        <w:bidi w:val="1"/>
        <w:spacing w:before="160" w:after="100"/>
        <w:jc w:val="right"/>
      </w:pPr>
      <w:r>
        <w:rPr>
          <w:rFonts w:ascii="Noto Sans Arabic" w:hAnsi="Noto Sans Arabic" w:eastAsia="Noto Sans Arabic" w:cs="Noto Sans Arabic"/>
        </w:rPr>
        <w:t>MCM01 — الحوكمة والتوجيه الاستراتيجي للاتصال</w:t>
      </w:r>
    </w:p>
    <w:p>
      <w:pPr>
        <w:bidi w:val="1"/>
        <w:spacing w:after="100" w:before="0" w:line="288" w:lineRule="auto"/>
        <w:jc w:val="both"/>
      </w:pPr>
      <w:r>
        <w:rPr>
          <w:rFonts w:ascii="Noto Sans Arabic" w:hAnsi="Noto Sans Arabic" w:eastAsia="Noto Sans Arabic" w:cs="Noto Sans Arabic"/>
          <w:b w:val="0"/>
          <w:color w:val="1F2937"/>
          <w:sz w:val="21"/>
        </w:rPr>
        <w:t>Strategic Communication Governance &amp; Direction</w:t>
      </w:r>
    </w:p>
    <w:p>
      <w:pPr>
        <w:bidi w:val="1"/>
        <w:spacing w:after="40" w:before="0" w:line="276" w:lineRule="auto"/>
        <w:ind w:right="0"/>
        <w:jc w:val="right"/>
      </w:pPr>
      <w:r>
        <w:rPr>
          <w:rFonts w:ascii="Noto Sans Arabic" w:hAnsi="Noto Sans Arabic" w:eastAsia="Noto Sans Arabic" w:cs="Noto Sans Arabic"/>
          <w:b w:val="0"/>
          <w:color w:val="1F2937"/>
          <w:sz w:val="20"/>
        </w:rPr>
        <w:t>• وضوح أهداف الاتصال؛ ارتباطه بأهداف الشركة؛ المسؤوليات والصلاحيات؛ ضبط الوعود؛ تحديد الأولويات؛ القدرة على رفض الأنشطة غير المرتبطة بالاستراتيجية.</w:t>
      </w:r>
    </w:p>
    <w:p>
      <w:pPr>
        <w:pStyle w:val="Heading2"/>
        <w:bidi w:val="1"/>
        <w:spacing w:before="160" w:after="100"/>
        <w:jc w:val="right"/>
      </w:pPr>
      <w:r>
        <w:rPr>
          <w:rFonts w:ascii="Noto Sans Arabic" w:hAnsi="Noto Sans Arabic" w:eastAsia="Noto Sans Arabic" w:cs="Noto Sans Arabic"/>
        </w:rPr>
        <w:t>MCM02 — ذكاء أصحاب المصلحة والسياق</w:t>
      </w:r>
    </w:p>
    <w:p>
      <w:pPr>
        <w:bidi w:val="1"/>
        <w:spacing w:after="100" w:before="0" w:line="288" w:lineRule="auto"/>
        <w:jc w:val="both"/>
      </w:pPr>
      <w:r>
        <w:rPr>
          <w:rFonts w:ascii="Noto Sans Arabic" w:hAnsi="Noto Sans Arabic" w:eastAsia="Noto Sans Arabic" w:cs="Noto Sans Arabic"/>
          <w:b w:val="0"/>
          <w:color w:val="1F2937"/>
          <w:sz w:val="21"/>
        </w:rPr>
        <w:t>Stakeholder &amp; Context Intelligence</w:t>
      </w:r>
    </w:p>
    <w:p>
      <w:pPr>
        <w:bidi w:val="1"/>
        <w:spacing w:after="40" w:before="0" w:line="276" w:lineRule="auto"/>
        <w:ind w:right="0"/>
        <w:jc w:val="right"/>
      </w:pPr>
      <w:r>
        <w:rPr>
          <w:rFonts w:ascii="Noto Sans Arabic" w:hAnsi="Noto Sans Arabic" w:eastAsia="Noto Sans Arabic" w:cs="Noto Sans Arabic"/>
          <w:b w:val="0"/>
          <w:color w:val="1F2937"/>
          <w:sz w:val="20"/>
        </w:rPr>
        <w:t>• فهم أصحاب المصلحة؛ التمييز بين العملاء والمستخدمين وصناع القرار؛ تكييف الرسائل حسب المعرفة والسياق والمخاطر والحالة العاطفية؛ ترجمة المعلومات المعقدة.</w:t>
      </w:r>
    </w:p>
    <w:p>
      <w:pPr>
        <w:pStyle w:val="Heading2"/>
        <w:bidi w:val="1"/>
        <w:spacing w:before="160" w:after="100"/>
        <w:jc w:val="right"/>
      </w:pPr>
      <w:r>
        <w:rPr>
          <w:rFonts w:ascii="Noto Sans Arabic" w:hAnsi="Noto Sans Arabic" w:eastAsia="Noto Sans Arabic" w:cs="Noto Sans Arabic"/>
        </w:rPr>
        <w:t>MCM03 — حوكمة المعلومات والنزاهة الاتصالية</w:t>
      </w:r>
    </w:p>
    <w:p>
      <w:pPr>
        <w:bidi w:val="1"/>
        <w:spacing w:after="100" w:before="0" w:line="288" w:lineRule="auto"/>
        <w:jc w:val="both"/>
      </w:pPr>
      <w:r>
        <w:rPr>
          <w:rFonts w:ascii="Noto Sans Arabic" w:hAnsi="Noto Sans Arabic" w:eastAsia="Noto Sans Arabic" w:cs="Noto Sans Arabic"/>
          <w:b w:val="0"/>
          <w:color w:val="1F2937"/>
          <w:sz w:val="21"/>
        </w:rPr>
        <w:t>Communication Information Governance &amp; Integrity</w:t>
      </w:r>
    </w:p>
    <w:p>
      <w:pPr>
        <w:bidi w:val="1"/>
        <w:spacing w:after="40" w:before="0" w:line="276" w:lineRule="auto"/>
        <w:ind w:right="0"/>
        <w:jc w:val="right"/>
      </w:pPr>
      <w:r>
        <w:rPr>
          <w:rFonts w:ascii="Noto Sans Arabic" w:hAnsi="Noto Sans Arabic" w:eastAsia="Noto Sans Arabic" w:cs="Noto Sans Arabic"/>
          <w:b w:val="0"/>
          <w:color w:val="1F2937"/>
          <w:sz w:val="20"/>
        </w:rPr>
        <w:t>• Single Source of Truth؛ ملكية المعلومات؛ التحديث؛ Version Control؛ صحة الادعاءات؛ Evidence Traceability؛ توحيد الأسعار والسياسات؛ إزالة المحتوى القديم؛ تعريف المقاييس.</w:t>
      </w:r>
    </w:p>
    <w:p>
      <w:pPr>
        <w:pStyle w:val="Heading2"/>
        <w:bidi w:val="1"/>
        <w:spacing w:before="160" w:after="100"/>
        <w:jc w:val="right"/>
      </w:pPr>
      <w:r>
        <w:rPr>
          <w:rFonts w:ascii="Noto Sans Arabic" w:hAnsi="Noto Sans Arabic" w:eastAsia="Noto Sans Arabic" w:cs="Noto Sans Arabic"/>
        </w:rPr>
        <w:t>MCM04 — التنسيق التنظيمي ورحلة العميل</w:t>
      </w:r>
    </w:p>
    <w:p>
      <w:pPr>
        <w:bidi w:val="1"/>
        <w:spacing w:after="100" w:before="0" w:line="288" w:lineRule="auto"/>
        <w:jc w:val="both"/>
      </w:pPr>
      <w:r>
        <w:rPr>
          <w:rFonts w:ascii="Noto Sans Arabic" w:hAnsi="Noto Sans Arabic" w:eastAsia="Noto Sans Arabic" w:cs="Noto Sans Arabic"/>
          <w:b w:val="0"/>
          <w:color w:val="1F2937"/>
          <w:sz w:val="21"/>
        </w:rPr>
        <w:t>Organisational &amp; Journey Orchestration</w:t>
      </w:r>
    </w:p>
    <w:p>
      <w:pPr>
        <w:bidi w:val="1"/>
        <w:spacing w:after="40" w:before="0" w:line="276" w:lineRule="auto"/>
        <w:ind w:right="0"/>
        <w:jc w:val="right"/>
      </w:pPr>
      <w:r>
        <w:rPr>
          <w:rFonts w:ascii="Noto Sans Arabic" w:hAnsi="Noto Sans Arabic" w:eastAsia="Noto Sans Arabic" w:cs="Noto Sans Arabic"/>
          <w:b w:val="0"/>
          <w:color w:val="1F2937"/>
          <w:sz w:val="20"/>
        </w:rPr>
        <w:t>• تنسيق Marketing وSales وCustomer Service وOperations وCRM وProduct والشركاء والقنوات؛ إدارة توقيت وتسلسل الرسائل عبر الرحلة.</w:t>
      </w:r>
    </w:p>
    <w:p>
      <w:pPr>
        <w:pStyle w:val="Heading2"/>
        <w:bidi w:val="1"/>
        <w:spacing w:before="160" w:after="100"/>
        <w:jc w:val="right"/>
      </w:pPr>
      <w:r>
        <w:rPr>
          <w:rFonts w:ascii="Noto Sans Arabic" w:hAnsi="Noto Sans Arabic" w:eastAsia="Noto Sans Arabic" w:cs="Noto Sans Arabic"/>
        </w:rPr>
        <w:t>MCM05 — مواءمة الوعد والتجربة والتوقعات</w:t>
      </w:r>
    </w:p>
    <w:p>
      <w:pPr>
        <w:bidi w:val="1"/>
        <w:spacing w:after="100" w:before="0" w:line="288" w:lineRule="auto"/>
        <w:jc w:val="both"/>
      </w:pPr>
      <w:r>
        <w:rPr>
          <w:rFonts w:ascii="Noto Sans Arabic" w:hAnsi="Noto Sans Arabic" w:eastAsia="Noto Sans Arabic" w:cs="Noto Sans Arabic"/>
          <w:b w:val="0"/>
          <w:color w:val="1F2937"/>
          <w:sz w:val="21"/>
        </w:rPr>
        <w:t>Promise–Experience &amp; Expectation Alignment</w:t>
      </w:r>
    </w:p>
    <w:p>
      <w:pPr>
        <w:bidi w:val="1"/>
        <w:spacing w:after="40" w:before="0" w:line="276" w:lineRule="auto"/>
        <w:ind w:right="0"/>
        <w:jc w:val="right"/>
      </w:pPr>
      <w:r>
        <w:rPr>
          <w:rFonts w:ascii="Noto Sans Arabic" w:hAnsi="Noto Sans Arabic" w:eastAsia="Noto Sans Arabic" w:cs="Noto Sans Arabic"/>
          <w:b w:val="0"/>
          <w:color w:val="1F2937"/>
          <w:sz w:val="20"/>
        </w:rPr>
        <w:t>• تطابق الإعلان مع الواقع؛ دقة الوعود؛ إدارة توقعات العميل؛ وضوح القيود؛ توافق Marketing مع Operations؛ Realised Value.</w:t>
      </w:r>
    </w:p>
    <w:p>
      <w:pPr>
        <w:pStyle w:val="Heading2"/>
        <w:bidi w:val="1"/>
        <w:spacing w:before="160" w:after="100"/>
        <w:jc w:val="right"/>
      </w:pPr>
      <w:r>
        <w:rPr>
          <w:rFonts w:ascii="Noto Sans Arabic" w:hAnsi="Noto Sans Arabic" w:eastAsia="Noto Sans Arabic" w:cs="Noto Sans Arabic"/>
        </w:rPr>
        <w:t>MCM06 — الأدلة والتعلم والاتصال التكيفي</w:t>
      </w:r>
    </w:p>
    <w:p>
      <w:pPr>
        <w:bidi w:val="1"/>
        <w:spacing w:after="100" w:before="0" w:line="288" w:lineRule="auto"/>
        <w:jc w:val="both"/>
      </w:pPr>
      <w:r>
        <w:rPr>
          <w:rFonts w:ascii="Noto Sans Arabic" w:hAnsi="Noto Sans Arabic" w:eastAsia="Noto Sans Arabic" w:cs="Noto Sans Arabic"/>
          <w:b w:val="0"/>
          <w:color w:val="1F2937"/>
          <w:sz w:val="21"/>
        </w:rPr>
        <w:t>Evidence, Learning &amp; Adaptive Communication</w:t>
      </w:r>
    </w:p>
    <w:p>
      <w:pPr>
        <w:bidi w:val="1"/>
        <w:spacing w:after="40" w:before="0" w:line="276" w:lineRule="auto"/>
        <w:ind w:right="0"/>
        <w:jc w:val="right"/>
      </w:pPr>
      <w:r>
        <w:rPr>
          <w:rFonts w:ascii="Noto Sans Arabic" w:hAnsi="Noto Sans Arabic" w:eastAsia="Noto Sans Arabic" w:cs="Noto Sans Arabic"/>
          <w:b w:val="0"/>
          <w:color w:val="1F2937"/>
          <w:sz w:val="20"/>
        </w:rPr>
        <w:t>• Analytics؛ Feedback؛ Root Cause Analysis؛ تحويل البيانات إلى قرار؛ التعلم من الأسئلة المتكررة؛ السلوك المحفّز للاتصال؛ Proactive وAnticipatory Communication.</w:t>
      </w:r>
    </w:p>
    <w:p>
      <w:pPr>
        <w:pStyle w:val="Heading2"/>
        <w:bidi w:val="1"/>
        <w:spacing w:before="160" w:after="100"/>
        <w:jc w:val="right"/>
      </w:pPr>
      <w:r>
        <w:rPr>
          <w:rFonts w:ascii="Noto Sans Arabic" w:hAnsi="Noto Sans Arabic" w:eastAsia="Noto Sans Arabic" w:cs="Noto Sans Arabic"/>
        </w:rPr>
        <w:t>MCM07 — المأسسة وقابلية التوسع الاتصالي</w:t>
      </w:r>
    </w:p>
    <w:p>
      <w:pPr>
        <w:bidi w:val="1"/>
        <w:spacing w:after="100" w:before="0" w:line="288" w:lineRule="auto"/>
        <w:jc w:val="both"/>
      </w:pPr>
      <w:r>
        <w:rPr>
          <w:rFonts w:ascii="Noto Sans Arabic" w:hAnsi="Noto Sans Arabic" w:eastAsia="Noto Sans Arabic" w:cs="Noto Sans Arabic"/>
          <w:b w:val="0"/>
          <w:color w:val="1F2937"/>
          <w:sz w:val="21"/>
        </w:rPr>
        <w:t>Institutionalisation &amp; Communication Scalability</w:t>
      </w:r>
    </w:p>
    <w:p>
      <w:pPr>
        <w:bidi w:val="1"/>
        <w:spacing w:after="40" w:before="0" w:line="276" w:lineRule="auto"/>
        <w:ind w:right="0"/>
        <w:jc w:val="right"/>
      </w:pPr>
      <w:r>
        <w:rPr>
          <w:rFonts w:ascii="Noto Sans Arabic" w:hAnsi="Noto Sans Arabic" w:eastAsia="Noto Sans Arabic" w:cs="Noto Sans Arabic"/>
          <w:b w:val="0"/>
          <w:color w:val="1F2937"/>
          <w:sz w:val="20"/>
        </w:rPr>
        <w:t>• Documentation؛ Knowledge Management؛ Self-Service؛ Automation Governance؛ تقليل الاعتماد على الأفراد؛ قابلية التوسع؛ Partner Enablement.</w:t>
      </w:r>
    </w:p>
    <w:p>
      <w:pPr>
        <w:pStyle w:val="Heading1"/>
        <w:bidi w:val="1"/>
        <w:spacing w:before="160" w:after="160"/>
        <w:jc w:val="right"/>
      </w:pPr>
      <w:r>
        <w:rPr>
          <w:rFonts w:ascii="Noto Sans Arabic" w:hAnsi="Noto Sans Arabic" w:eastAsia="Noto Sans Arabic" w:cs="Noto Sans Arabic"/>
        </w:rPr>
        <w:t>5. متغير النتيجة: SMCE</w:t>
      </w:r>
    </w:p>
    <w:p>
      <w:pPr>
        <w:bidi w:val="1"/>
        <w:spacing w:after="100" w:before="0" w:line="288" w:lineRule="auto"/>
        <w:jc w:val="both"/>
      </w:pPr>
      <w:r>
        <w:rPr>
          <w:rFonts w:ascii="Noto Sans Arabic" w:hAnsi="Noto Sans Arabic" w:eastAsia="Noto Sans Arabic" w:cs="Noto Sans Arabic"/>
          <w:b w:val="0"/>
          <w:color w:val="1F2937"/>
          <w:sz w:val="21"/>
        </w:rPr>
        <w:t>يظهر Social Media Communication Efficiency في شاشة ودرجة مستقلة عن MCM. وهو يقيس نتائج الاتصال وليس القدرة التنظيمية نفسها.</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الرمز</w:t>
            </w:r>
          </w:p>
        </w:tc>
        <w:tc>
          <w:tcPr>
            <w:tcW w:type="dxa" w:w="4896"/>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البعد الإنجليزي</w:t>
            </w:r>
          </w:p>
        </w:tc>
        <w:tc>
          <w:tcPr>
            <w:tcW w:type="dxa" w:w="360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البعد العربي</w:t>
            </w:r>
          </w:p>
        </w:tc>
      </w:tr>
      <w:tr>
        <w:trPr>
          <w:cantSplit/>
        </w:trPr>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SMCE01</w:t>
            </w:r>
          </w:p>
        </w:tc>
        <w:tc>
          <w:tcPr>
            <w:tcW w:type="dxa" w:w="489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Response &amp; Resolution Efficiency</w:t>
            </w:r>
          </w:p>
        </w:tc>
        <w:tc>
          <w:tcPr>
            <w:tcW w:type="dxa" w:w="360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كفاءة الاستجابة والحل</w:t>
            </w:r>
          </w:p>
        </w:tc>
      </w:tr>
      <w:tr>
        <w:trPr>
          <w:cantSplit/>
        </w:trPr>
        <w:tc>
          <w:tcPr>
            <w:tcW w:type="dxa" w:w="144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SMCE02</w:t>
            </w:r>
          </w:p>
        </w:tc>
        <w:tc>
          <w:tcPr>
            <w:tcW w:type="dxa" w:w="489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Meaning &amp; Interaction Quality</w:t>
            </w:r>
          </w:p>
        </w:tc>
        <w:tc>
          <w:tcPr>
            <w:tcW w:type="dxa" w:w="360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جودة المعنى والتفاعل</w:t>
            </w:r>
          </w:p>
        </w:tc>
      </w:tr>
      <w:tr>
        <w:trPr>
          <w:cantSplit/>
        </w:trPr>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SMCE03</w:t>
            </w:r>
          </w:p>
        </w:tc>
        <w:tc>
          <w:tcPr>
            <w:tcW w:type="dxa" w:w="489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Action Efficiency</w:t>
            </w:r>
          </w:p>
        </w:tc>
        <w:tc>
          <w:tcPr>
            <w:tcW w:type="dxa" w:w="360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كفاءة الانتقال إلى الفعل</w:t>
            </w:r>
          </w:p>
        </w:tc>
      </w:tr>
      <w:tr>
        <w:trPr>
          <w:cantSplit/>
        </w:trPr>
        <w:tc>
          <w:tcPr>
            <w:tcW w:type="dxa" w:w="144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SMCE04</w:t>
            </w:r>
          </w:p>
        </w:tc>
        <w:tc>
          <w:tcPr>
            <w:tcW w:type="dxa" w:w="489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Low Communication Friction</w:t>
            </w:r>
          </w:p>
        </w:tc>
        <w:tc>
          <w:tcPr>
            <w:tcW w:type="dxa" w:w="360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انخفاض الاحتكاك الاتصالي</w:t>
            </w:r>
          </w:p>
        </w:tc>
      </w:tr>
      <w:tr>
        <w:trPr>
          <w:cantSplit/>
        </w:trPr>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SMCE05</w:t>
            </w:r>
          </w:p>
        </w:tc>
        <w:tc>
          <w:tcPr>
            <w:tcW w:type="dxa" w:w="489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Resource &amp; Goal Efficiency</w:t>
            </w:r>
          </w:p>
        </w:tc>
        <w:tc>
          <w:tcPr>
            <w:tcW w:type="dxa" w:w="360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كفاءة الموارد وتحقيق الأهداف</w:t>
            </w:r>
          </w:p>
        </w:tc>
      </w:tr>
    </w:tbl>
    <w:p>
      <w:pPr>
        <w:spacing w:after="40"/>
      </w:pPr>
    </w:p>
    <w:p>
      <w:pPr>
        <w:pStyle w:val="Heading1"/>
        <w:bidi w:val="1"/>
        <w:spacing w:before="160" w:after="160"/>
        <w:jc w:val="right"/>
      </w:pPr>
      <w:r>
        <w:rPr>
          <w:rFonts w:ascii="Noto Sans Arabic" w:hAnsi="Noto Sans Arabic" w:eastAsia="Noto Sans Arabic" w:cs="Noto Sans Arabic"/>
        </w:rPr>
        <w:t>6. إدارة أداة القياس Instrument Management</w:t>
      </w:r>
    </w:p>
    <w:p>
      <w:pPr>
        <w:bidi w:val="1"/>
        <w:spacing w:after="100" w:before="0" w:line="288" w:lineRule="auto"/>
        <w:jc w:val="both"/>
      </w:pPr>
      <w:r>
        <w:rPr>
          <w:rFonts w:ascii="Noto Sans Arabic" w:hAnsi="Noto Sans Arabic" w:eastAsia="Noto Sans Arabic" w:cs="Noto Sans Arabic"/>
          <w:b w:val="0"/>
          <w:color w:val="1F2937"/>
          <w:sz w:val="21"/>
        </w:rPr>
        <w:t>يمنع تثبيت الأسئلة داخل Source Code. يجب بناء نظام إدارة أدوات يسمح للباحث بإنشاء وتعديل وإصدار أدوات قياس جديدة من قاعدة البيانات.</w:t>
      </w:r>
    </w:p>
    <w:p>
      <w:pPr>
        <w:bidi w:val="1"/>
        <w:spacing w:after="40" w:before="0" w:line="276" w:lineRule="auto"/>
        <w:ind w:right="0"/>
        <w:jc w:val="right"/>
      </w:pPr>
      <w:r>
        <w:rPr>
          <w:rFonts w:ascii="Noto Sans Arabic" w:hAnsi="Noto Sans Arabic" w:eastAsia="Noto Sans Arabic" w:cs="Noto Sans Arabic"/>
          <w:b w:val="0"/>
          <w:color w:val="1F2937"/>
          <w:sz w:val="20"/>
        </w:rPr>
        <w:t>• إنشاء Instrument جديد.</w:t>
      </w:r>
    </w:p>
    <w:p>
      <w:pPr>
        <w:bidi w:val="1"/>
        <w:spacing w:after="40" w:before="0" w:line="276" w:lineRule="auto"/>
        <w:ind w:right="0"/>
        <w:jc w:val="right"/>
      </w:pPr>
      <w:r>
        <w:rPr>
          <w:rFonts w:ascii="Noto Sans Arabic" w:hAnsi="Noto Sans Arabic" w:eastAsia="Noto Sans Arabic" w:cs="Noto Sans Arabic"/>
          <w:b w:val="0"/>
          <w:color w:val="1F2937"/>
          <w:sz w:val="20"/>
        </w:rPr>
        <w:t>• إضافة أو تعديل أو إيقاف سؤال.</w:t>
      </w:r>
    </w:p>
    <w:p>
      <w:pPr>
        <w:bidi w:val="1"/>
        <w:spacing w:after="40" w:before="0" w:line="276" w:lineRule="auto"/>
        <w:ind w:right="0"/>
        <w:jc w:val="right"/>
      </w:pPr>
      <w:r>
        <w:rPr>
          <w:rFonts w:ascii="Noto Sans Arabic" w:hAnsi="Noto Sans Arabic" w:eastAsia="Noto Sans Arabic" w:cs="Noto Sans Arabic"/>
          <w:b w:val="0"/>
          <w:color w:val="1F2937"/>
          <w:sz w:val="20"/>
        </w:rPr>
        <w:t>• تحديد اللغة العربية والإنجليزية.</w:t>
      </w:r>
    </w:p>
    <w:p>
      <w:pPr>
        <w:bidi w:val="1"/>
        <w:spacing w:after="40" w:before="0" w:line="276" w:lineRule="auto"/>
        <w:ind w:right="0"/>
        <w:jc w:val="right"/>
      </w:pPr>
      <w:r>
        <w:rPr>
          <w:rFonts w:ascii="Noto Sans Arabic" w:hAnsi="Noto Sans Arabic" w:eastAsia="Noto Sans Arabic" w:cs="Noto Sans Arabic"/>
          <w:b w:val="0"/>
          <w:color w:val="1F2937"/>
          <w:sz w:val="20"/>
        </w:rPr>
        <w:t>• ربط السؤال بالبعد الصحيح.</w:t>
      </w:r>
    </w:p>
    <w:p>
      <w:pPr>
        <w:bidi w:val="1"/>
        <w:spacing w:after="40" w:before="0" w:line="276" w:lineRule="auto"/>
        <w:ind w:right="0"/>
        <w:jc w:val="right"/>
      </w:pPr>
      <w:r>
        <w:rPr>
          <w:rFonts w:ascii="Noto Sans Arabic" w:hAnsi="Noto Sans Arabic" w:eastAsia="Noto Sans Arabic" w:cs="Noto Sans Arabic"/>
          <w:b w:val="0"/>
          <w:color w:val="1F2937"/>
          <w:sz w:val="20"/>
        </w:rPr>
        <w:t>• تحديد نوع المتغير.</w:t>
      </w:r>
    </w:p>
    <w:p>
      <w:pPr>
        <w:bidi w:val="1"/>
        <w:spacing w:after="40" w:before="0" w:line="276" w:lineRule="auto"/>
        <w:ind w:right="0"/>
        <w:jc w:val="right"/>
      </w:pPr>
      <w:r>
        <w:rPr>
          <w:rFonts w:ascii="Noto Sans Arabic" w:hAnsi="Noto Sans Arabic" w:eastAsia="Noto Sans Arabic" w:cs="Noto Sans Arabic"/>
          <w:b w:val="0"/>
          <w:color w:val="1F2937"/>
          <w:sz w:val="20"/>
        </w:rPr>
        <w:t>• تحديد Likert Scale.</w:t>
      </w:r>
    </w:p>
    <w:p>
      <w:pPr>
        <w:bidi w:val="1"/>
        <w:spacing w:after="40" w:before="0" w:line="276" w:lineRule="auto"/>
        <w:ind w:right="0"/>
        <w:jc w:val="right"/>
      </w:pPr>
      <w:r>
        <w:rPr>
          <w:rFonts w:ascii="Noto Sans Arabic" w:hAnsi="Noto Sans Arabic" w:eastAsia="Noto Sans Arabic" w:cs="Noto Sans Arabic"/>
          <w:b w:val="0"/>
          <w:color w:val="1F2937"/>
          <w:sz w:val="20"/>
        </w:rPr>
        <w:t>• تحديد Reverse-coded item.</w:t>
      </w:r>
    </w:p>
    <w:p>
      <w:pPr>
        <w:bidi w:val="1"/>
        <w:spacing w:after="40" w:before="0" w:line="276" w:lineRule="auto"/>
        <w:ind w:right="0"/>
        <w:jc w:val="right"/>
      </w:pPr>
      <w:r>
        <w:rPr>
          <w:rFonts w:ascii="Noto Sans Arabic" w:hAnsi="Noto Sans Arabic" w:eastAsia="Noto Sans Arabic" w:cs="Noto Sans Arabic"/>
          <w:b w:val="0"/>
          <w:color w:val="1F2937"/>
          <w:sz w:val="20"/>
        </w:rPr>
        <w:t>• تحديد الوزن.</w:t>
      </w:r>
    </w:p>
    <w:p>
      <w:pPr>
        <w:bidi w:val="1"/>
        <w:spacing w:after="40" w:before="0" w:line="276" w:lineRule="auto"/>
        <w:ind w:right="0"/>
        <w:jc w:val="right"/>
      </w:pPr>
      <w:r>
        <w:rPr>
          <w:rFonts w:ascii="Noto Sans Arabic" w:hAnsi="Noto Sans Arabic" w:eastAsia="Noto Sans Arabic" w:cs="Noto Sans Arabic"/>
          <w:b w:val="0"/>
          <w:color w:val="1F2937"/>
          <w:sz w:val="20"/>
        </w:rPr>
        <w:t>• تحديد Mandatory / Optional.</w:t>
      </w:r>
    </w:p>
    <w:p>
      <w:pPr>
        <w:bidi w:val="1"/>
        <w:spacing w:after="40" w:before="0" w:line="276" w:lineRule="auto"/>
        <w:ind w:right="0"/>
        <w:jc w:val="right"/>
      </w:pPr>
      <w:r>
        <w:rPr>
          <w:rFonts w:ascii="Noto Sans Arabic" w:hAnsi="Noto Sans Arabic" w:eastAsia="Noto Sans Arabic" w:cs="Noto Sans Arabic"/>
          <w:b w:val="0"/>
          <w:color w:val="1F2937"/>
          <w:sz w:val="20"/>
        </w:rPr>
        <w:t>• تغيير ترتيب السؤال.</w:t>
      </w:r>
    </w:p>
    <w:p>
      <w:pPr>
        <w:bidi w:val="1"/>
        <w:spacing w:after="40" w:before="0" w:line="276" w:lineRule="auto"/>
        <w:ind w:right="0"/>
        <w:jc w:val="right"/>
      </w:pPr>
      <w:r>
        <w:rPr>
          <w:rFonts w:ascii="Noto Sans Arabic" w:hAnsi="Noto Sans Arabic" w:eastAsia="Noto Sans Arabic" w:cs="Noto Sans Arabic"/>
          <w:b w:val="0"/>
          <w:color w:val="1F2937"/>
          <w:sz w:val="20"/>
        </w:rPr>
        <w:t>• إنشاء Version جديد دون إتلاف البيانات القديمة.</w:t>
      </w:r>
    </w:p>
    <w:p>
      <w:pPr>
        <w:pStyle w:val="CodeBlock"/>
        <w:spacing w:after="120"/>
        <w:ind w:left="259" w:right="259"/>
        <w:jc w:val="left"/>
        <w:shd w:fill="F2F5F7"/>
      </w:pPr>
      <w:r>
        <w:rPr>
          <w:rFonts w:ascii="DejaVu Sans" w:hAnsi="DejaVu Sans" w:eastAsia="DejaVu Sans" w:cs="DejaVu Sans"/>
          <w:b w:val="0"/>
          <w:color w:val="1F2937"/>
          <w:sz w:val="17"/>
        </w:rPr>
        <w:t>Instrument: MCM-2026-PILOT</w:t>
        <w:br/>
        <w:t>Version: 0.1</w:t>
        <w:br/>
        <w:t>Status: DRAFT / PILOT / VALIDATED / ARCHIVED</w:t>
      </w:r>
    </w:p>
    <w:p>
      <w:pPr>
        <w:pStyle w:val="Heading1"/>
        <w:bidi w:val="1"/>
        <w:spacing w:before="160" w:after="160"/>
        <w:jc w:val="right"/>
      </w:pPr>
      <w:r>
        <w:rPr>
          <w:rFonts w:ascii="Noto Sans Arabic" w:hAnsi="Noto Sans Arabic" w:eastAsia="Noto Sans Arabic" w:cs="Noto Sans Arabic"/>
        </w:rPr>
        <w:t>7. المستخدمون والصلاحيات</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Role</w:t>
            </w:r>
          </w:p>
        </w:tc>
        <w:tc>
          <w:tcPr>
            <w:tcW w:type="dxa" w:w="288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الوصف</w:t>
            </w:r>
          </w:p>
        </w:tc>
        <w:tc>
          <w:tcPr>
            <w:tcW w:type="dxa" w:w="475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الصلاحيات الأساسية</w:t>
            </w:r>
          </w:p>
        </w:tc>
      </w:tr>
      <w:tr>
        <w:trPr>
          <w:cantSplit/>
        </w:trPr>
        <w:tc>
          <w:tcPr>
            <w:tcW w:type="dxa" w:w="244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COMPANY_RESPONDENT</w:t>
            </w:r>
          </w:p>
        </w:tc>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مجيب من الشركة</w:t>
            </w:r>
          </w:p>
        </w:tc>
        <w:tc>
          <w:tcPr>
            <w:tcW w:type="dxa" w:w="47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تعبئة التقييم وحفظه واستكماله.</w:t>
            </w:r>
          </w:p>
        </w:tc>
      </w:tr>
      <w:tr>
        <w:trPr>
          <w:cantSplit/>
        </w:trPr>
        <w:tc>
          <w:tcPr>
            <w:tcW w:type="dxa" w:w="2448"/>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COMPANY_ADMIN</w:t>
            </w:r>
          </w:p>
        </w:tc>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مدير حساب الشركة</w:t>
            </w:r>
          </w:p>
        </w:tc>
        <w:tc>
          <w:tcPr>
            <w:tcW w:type="dxa" w:w="475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إدارة الشركة والتقييمات والمستخدمين والتقارير.</w:t>
            </w:r>
          </w:p>
        </w:tc>
      </w:tr>
      <w:tr>
        <w:trPr>
          <w:cantSplit/>
        </w:trPr>
        <w:tc>
          <w:tcPr>
            <w:tcW w:type="dxa" w:w="244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CONSULTANT</w:t>
            </w:r>
          </w:p>
        </w:tc>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مستشار</w:t>
            </w:r>
          </w:p>
        </w:tc>
        <w:tc>
          <w:tcPr>
            <w:tcW w:type="dxa" w:w="47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الاطلاع على الشركات المخصصة له ونتائجها وخططها.</w:t>
            </w:r>
          </w:p>
        </w:tc>
      </w:tr>
      <w:tr>
        <w:trPr>
          <w:cantSplit/>
        </w:trPr>
        <w:tc>
          <w:tcPr>
            <w:tcW w:type="dxa" w:w="2448"/>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RESEARCHER</w:t>
            </w:r>
          </w:p>
        </w:tc>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باحث</w:t>
            </w:r>
          </w:p>
        </w:tc>
        <w:tc>
          <w:tcPr>
            <w:tcW w:type="dxa" w:w="475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إدارة الأداة والبيانات والتحليل والتصدير والـCodebook.</w:t>
            </w:r>
          </w:p>
        </w:tc>
      </w:tr>
      <w:tr>
        <w:trPr>
          <w:cantSplit/>
        </w:trPr>
        <w:tc>
          <w:tcPr>
            <w:tcW w:type="dxa" w:w="244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SUPER_ADMIN</w:t>
            </w:r>
          </w:p>
        </w:tc>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مدير النظام</w:t>
            </w:r>
          </w:p>
        </w:tc>
        <w:tc>
          <w:tcPr>
            <w:tcW w:type="dxa" w:w="47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التحكم الكامل بالمستخدمين والإعدادات والأدوات والصلاحيات.</w:t>
            </w:r>
          </w:p>
        </w:tc>
      </w:tr>
    </w:tbl>
    <w:p>
      <w:pPr>
        <w:spacing w:after="40"/>
      </w:pPr>
    </w:p>
    <w:p>
      <w:pPr>
        <w:pStyle w:val="Heading1"/>
        <w:bidi w:val="1"/>
        <w:spacing w:before="160" w:after="160"/>
        <w:jc w:val="right"/>
      </w:pPr>
      <w:r>
        <w:rPr>
          <w:rFonts w:ascii="Noto Sans Arabic" w:hAnsi="Noto Sans Arabic" w:eastAsia="Noto Sans Arabic" w:cs="Noto Sans Arabic"/>
        </w:rPr>
        <w:t>8. رحلة الشركة Company Journey</w:t>
      </w:r>
    </w:p>
    <w:p>
      <w:pPr>
        <w:pStyle w:val="Heading2"/>
        <w:bidi w:val="1"/>
        <w:spacing w:before="160" w:after="100"/>
        <w:jc w:val="right"/>
      </w:pPr>
      <w:r>
        <w:rPr>
          <w:rFonts w:ascii="Noto Sans Arabic" w:hAnsi="Noto Sans Arabic" w:eastAsia="Noto Sans Arabic" w:cs="Noto Sans Arabic"/>
        </w:rPr>
        <w:t>8.1 Landing Page</w:t>
      </w:r>
    </w:p>
    <w:p>
      <w:pPr>
        <w:bidi w:val="1"/>
        <w:spacing w:after="100" w:before="0" w:line="288" w:lineRule="auto"/>
        <w:jc w:val="both"/>
      </w:pPr>
      <w:r>
        <w:rPr>
          <w:rFonts w:ascii="Noto Sans Arabic" w:hAnsi="Noto Sans Arabic" w:eastAsia="Noto Sans Arabic" w:cs="Noto Sans Arabic"/>
          <w:b w:val="0"/>
          <w:color w:val="1F2937"/>
          <w:sz w:val="21"/>
        </w:rPr>
        <w:t>العنوان الرئيسي: «نضج MCM — افهم مستوى نضج الاتصال التسويقي في مؤسستك، اكتشف الفجوات، وحوّل النتائج إلى أولويات تطوير قابلة للتنفيذ.»</w:t>
      </w:r>
    </w:p>
    <w:p>
      <w:pPr>
        <w:bidi w:val="1"/>
        <w:spacing w:after="40" w:before="0" w:line="276" w:lineRule="auto"/>
        <w:ind w:right="0"/>
        <w:jc w:val="right"/>
      </w:pPr>
      <w:r>
        <w:rPr>
          <w:rFonts w:ascii="Noto Sans Arabic" w:hAnsi="Noto Sans Arabic" w:eastAsia="Noto Sans Arabic" w:cs="Noto Sans Arabic"/>
          <w:b w:val="0"/>
          <w:color w:val="1F2937"/>
          <w:sz w:val="20"/>
        </w:rPr>
        <w:t>• تقييم شامل</w:t>
      </w:r>
    </w:p>
    <w:p>
      <w:pPr>
        <w:bidi w:val="1"/>
        <w:spacing w:after="40" w:before="0" w:line="276" w:lineRule="auto"/>
        <w:ind w:right="0"/>
        <w:jc w:val="right"/>
      </w:pPr>
      <w:r>
        <w:rPr>
          <w:rFonts w:ascii="Noto Sans Arabic" w:hAnsi="Noto Sans Arabic" w:eastAsia="Noto Sans Arabic" w:cs="Noto Sans Arabic"/>
          <w:b w:val="0"/>
          <w:color w:val="1F2937"/>
          <w:sz w:val="20"/>
        </w:rPr>
        <w:t>• تحليلات دقيقة</w:t>
      </w:r>
    </w:p>
    <w:p>
      <w:pPr>
        <w:bidi w:val="1"/>
        <w:spacing w:after="40" w:before="0" w:line="276" w:lineRule="auto"/>
        <w:ind w:right="0"/>
        <w:jc w:val="right"/>
      </w:pPr>
      <w:r>
        <w:rPr>
          <w:rFonts w:ascii="Noto Sans Arabic" w:hAnsi="Noto Sans Arabic" w:eastAsia="Noto Sans Arabic" w:cs="Noto Sans Arabic"/>
          <w:b w:val="0"/>
          <w:color w:val="1F2937"/>
          <w:sz w:val="20"/>
        </w:rPr>
        <w:t>• مقارنة معيارية</w:t>
      </w:r>
    </w:p>
    <w:p>
      <w:pPr>
        <w:bidi w:val="1"/>
        <w:spacing w:after="40" w:before="0" w:line="276" w:lineRule="auto"/>
        <w:ind w:right="0"/>
        <w:jc w:val="right"/>
      </w:pPr>
      <w:r>
        <w:rPr>
          <w:rFonts w:ascii="Noto Sans Arabic" w:hAnsi="Noto Sans Arabic" w:eastAsia="Noto Sans Arabic" w:cs="Noto Sans Arabic"/>
          <w:b w:val="0"/>
          <w:color w:val="1F2937"/>
          <w:sz w:val="20"/>
        </w:rPr>
        <w:t>• توصيات عملية</w:t>
      </w:r>
    </w:p>
    <w:p>
      <w:pPr>
        <w:bidi w:val="1"/>
        <w:spacing w:after="100" w:before="0" w:line="288" w:lineRule="auto"/>
        <w:jc w:val="both"/>
      </w:pPr>
      <w:r>
        <w:rPr>
          <w:rFonts w:ascii="Noto Sans Arabic" w:hAnsi="Noto Sans Arabic" w:eastAsia="Noto Sans Arabic" w:cs="Noto Sans Arabic"/>
          <w:b w:val="0"/>
          <w:color w:val="1F2937"/>
          <w:sz w:val="21"/>
        </w:rPr>
        <w:t>CTA الرئيسي: «ابدأ التقييم». CTA ثانوي: «تعرف على المنهجية».</w:t>
      </w:r>
    </w:p>
    <w:p>
      <w:pPr>
        <w:pStyle w:val="Heading2"/>
        <w:bidi w:val="1"/>
        <w:spacing w:before="160" w:after="100"/>
        <w:jc w:val="right"/>
      </w:pPr>
      <w:r>
        <w:rPr>
          <w:rFonts w:ascii="Noto Sans Arabic" w:hAnsi="Noto Sans Arabic" w:eastAsia="Noto Sans Arabic" w:cs="Noto Sans Arabic"/>
        </w:rPr>
        <w:t>8.2 إنشاء الحساب</w:t>
      </w:r>
    </w:p>
    <w:p>
      <w:pPr>
        <w:bidi w:val="1"/>
        <w:spacing w:after="40" w:before="0" w:line="276" w:lineRule="auto"/>
        <w:ind w:right="0"/>
        <w:jc w:val="right"/>
      </w:pPr>
      <w:r>
        <w:rPr>
          <w:rFonts w:ascii="Noto Sans Arabic" w:hAnsi="Noto Sans Arabic" w:eastAsia="Noto Sans Arabic" w:cs="Noto Sans Arabic"/>
          <w:b w:val="0"/>
          <w:color w:val="1F2937"/>
          <w:sz w:val="20"/>
        </w:rPr>
        <w:t>• الاسم</w:t>
      </w:r>
    </w:p>
    <w:p>
      <w:pPr>
        <w:bidi w:val="1"/>
        <w:spacing w:after="40" w:before="0" w:line="276" w:lineRule="auto"/>
        <w:ind w:right="0"/>
        <w:jc w:val="right"/>
      </w:pPr>
      <w:r>
        <w:rPr>
          <w:rFonts w:ascii="Noto Sans Arabic" w:hAnsi="Noto Sans Arabic" w:eastAsia="Noto Sans Arabic" w:cs="Noto Sans Arabic"/>
          <w:b w:val="0"/>
          <w:color w:val="1F2937"/>
          <w:sz w:val="20"/>
        </w:rPr>
        <w:t>• البريد الإلكتروني</w:t>
      </w:r>
    </w:p>
    <w:p>
      <w:pPr>
        <w:bidi w:val="1"/>
        <w:spacing w:after="40" w:before="0" w:line="276" w:lineRule="auto"/>
        <w:ind w:right="0"/>
        <w:jc w:val="right"/>
      </w:pPr>
      <w:r>
        <w:rPr>
          <w:rFonts w:ascii="Noto Sans Arabic" w:hAnsi="Noto Sans Arabic" w:eastAsia="Noto Sans Arabic" w:cs="Noto Sans Arabic"/>
          <w:b w:val="0"/>
          <w:color w:val="1F2937"/>
          <w:sz w:val="20"/>
        </w:rPr>
        <w:t>• كلمة المرور</w:t>
      </w:r>
    </w:p>
    <w:p>
      <w:pPr>
        <w:bidi w:val="1"/>
        <w:spacing w:after="40" w:before="0" w:line="276" w:lineRule="auto"/>
        <w:ind w:right="0"/>
        <w:jc w:val="right"/>
      </w:pPr>
      <w:r>
        <w:rPr>
          <w:rFonts w:ascii="Noto Sans Arabic" w:hAnsi="Noto Sans Arabic" w:eastAsia="Noto Sans Arabic" w:cs="Noto Sans Arabic"/>
          <w:b w:val="0"/>
          <w:color w:val="1F2937"/>
          <w:sz w:val="20"/>
        </w:rPr>
        <w:t>• الجوال — اختياري</w:t>
      </w:r>
    </w:p>
    <w:p>
      <w:pPr>
        <w:bidi w:val="1"/>
        <w:spacing w:after="40" w:before="0" w:line="276" w:lineRule="auto"/>
        <w:ind w:right="0"/>
        <w:jc w:val="right"/>
      </w:pPr>
      <w:r>
        <w:rPr>
          <w:rFonts w:ascii="Noto Sans Arabic" w:hAnsi="Noto Sans Arabic" w:eastAsia="Noto Sans Arabic" w:cs="Noto Sans Arabic"/>
          <w:b w:val="0"/>
          <w:color w:val="1F2937"/>
          <w:sz w:val="20"/>
        </w:rPr>
        <w:t>• الشركة</w:t>
      </w:r>
    </w:p>
    <w:p>
      <w:pPr>
        <w:bidi w:val="1"/>
        <w:spacing w:after="40" w:before="0" w:line="276" w:lineRule="auto"/>
        <w:ind w:right="0"/>
        <w:jc w:val="right"/>
      </w:pPr>
      <w:r>
        <w:rPr>
          <w:rFonts w:ascii="Noto Sans Arabic" w:hAnsi="Noto Sans Arabic" w:eastAsia="Noto Sans Arabic" w:cs="Noto Sans Arabic"/>
          <w:b w:val="0"/>
          <w:color w:val="1F2937"/>
          <w:sz w:val="20"/>
        </w:rPr>
        <w:t>• المسمى الوظيفي</w:t>
      </w:r>
    </w:p>
    <w:p>
      <w:pPr>
        <w:bidi w:val="1"/>
        <w:spacing w:after="40" w:before="0" w:line="276" w:lineRule="auto"/>
        <w:ind w:right="0"/>
        <w:jc w:val="right"/>
      </w:pPr>
      <w:r>
        <w:rPr>
          <w:rFonts w:ascii="Noto Sans Arabic" w:hAnsi="Noto Sans Arabic" w:eastAsia="Noto Sans Arabic" w:cs="Noto Sans Arabic"/>
          <w:b w:val="0"/>
          <w:color w:val="1F2937"/>
          <w:sz w:val="20"/>
        </w:rPr>
        <w:t>• الدولة</w:t>
      </w:r>
    </w:p>
    <w:p>
      <w:pPr>
        <w:bidi w:val="1"/>
        <w:spacing w:after="40" w:before="0" w:line="276" w:lineRule="auto"/>
        <w:ind w:right="0"/>
        <w:jc w:val="right"/>
      </w:pPr>
      <w:r>
        <w:rPr>
          <w:rFonts w:ascii="Noto Sans Arabic" w:hAnsi="Noto Sans Arabic" w:eastAsia="Noto Sans Arabic" w:cs="Noto Sans Arabic"/>
          <w:b w:val="0"/>
          <w:color w:val="1F2937"/>
          <w:sz w:val="20"/>
        </w:rPr>
        <w:t>• اللغة</w:t>
      </w:r>
    </w:p>
    <w:p>
      <w:pPr>
        <w:pStyle w:val="Heading2"/>
        <w:bidi w:val="1"/>
        <w:spacing w:before="160" w:after="100"/>
        <w:jc w:val="right"/>
      </w:pPr>
      <w:r>
        <w:rPr>
          <w:rFonts w:ascii="Noto Sans Arabic" w:hAnsi="Noto Sans Arabic" w:eastAsia="Noto Sans Arabic" w:cs="Noto Sans Arabic"/>
        </w:rPr>
        <w:t>8.3 Company Profile</w:t>
      </w:r>
    </w:p>
    <w:p>
      <w:pPr>
        <w:bidi w:val="1"/>
        <w:spacing w:after="40" w:before="0" w:line="276" w:lineRule="auto"/>
        <w:ind w:right="0"/>
        <w:jc w:val="right"/>
      </w:pPr>
      <w:r>
        <w:rPr>
          <w:rFonts w:ascii="Noto Sans Arabic" w:hAnsi="Noto Sans Arabic" w:eastAsia="Noto Sans Arabic" w:cs="Noto Sans Arabic"/>
          <w:b w:val="0"/>
          <w:color w:val="1F2937"/>
          <w:sz w:val="20"/>
        </w:rPr>
        <w:t>• Company Name</w:t>
      </w:r>
    </w:p>
    <w:p>
      <w:pPr>
        <w:bidi w:val="1"/>
        <w:spacing w:after="40" w:before="0" w:line="276" w:lineRule="auto"/>
        <w:ind w:right="0"/>
        <w:jc w:val="right"/>
      </w:pPr>
      <w:r>
        <w:rPr>
          <w:rFonts w:ascii="Noto Sans Arabic" w:hAnsi="Noto Sans Arabic" w:eastAsia="Noto Sans Arabic" w:cs="Noto Sans Arabic"/>
          <w:b w:val="0"/>
          <w:color w:val="1F2937"/>
          <w:sz w:val="20"/>
        </w:rPr>
        <w:t>• Sector</w:t>
      </w:r>
    </w:p>
    <w:p>
      <w:pPr>
        <w:bidi w:val="1"/>
        <w:spacing w:after="40" w:before="0" w:line="276" w:lineRule="auto"/>
        <w:ind w:right="0"/>
        <w:jc w:val="right"/>
      </w:pPr>
      <w:r>
        <w:rPr>
          <w:rFonts w:ascii="Noto Sans Arabic" w:hAnsi="Noto Sans Arabic" w:eastAsia="Noto Sans Arabic" w:cs="Noto Sans Arabic"/>
          <w:b w:val="0"/>
          <w:color w:val="1F2937"/>
          <w:sz w:val="20"/>
        </w:rPr>
        <w:t>• Subsector</w:t>
      </w:r>
    </w:p>
    <w:p>
      <w:pPr>
        <w:bidi w:val="1"/>
        <w:spacing w:after="40" w:before="0" w:line="276" w:lineRule="auto"/>
        <w:ind w:right="0"/>
        <w:jc w:val="right"/>
      </w:pPr>
      <w:r>
        <w:rPr>
          <w:rFonts w:ascii="Noto Sans Arabic" w:hAnsi="Noto Sans Arabic" w:eastAsia="Noto Sans Arabic" w:cs="Noto Sans Arabic"/>
          <w:b w:val="0"/>
          <w:color w:val="1F2937"/>
          <w:sz w:val="20"/>
        </w:rPr>
        <w:t>• Number of Employees</w:t>
      </w:r>
    </w:p>
    <w:p>
      <w:pPr>
        <w:bidi w:val="1"/>
        <w:spacing w:after="40" w:before="0" w:line="276" w:lineRule="auto"/>
        <w:ind w:right="0"/>
        <w:jc w:val="right"/>
      </w:pPr>
      <w:r>
        <w:rPr>
          <w:rFonts w:ascii="Noto Sans Arabic" w:hAnsi="Noto Sans Arabic" w:eastAsia="Noto Sans Arabic" w:cs="Noto Sans Arabic"/>
          <w:b w:val="0"/>
          <w:color w:val="1F2937"/>
          <w:sz w:val="20"/>
        </w:rPr>
        <w:t>• Company Age</w:t>
      </w:r>
    </w:p>
    <w:p>
      <w:pPr>
        <w:bidi w:val="1"/>
        <w:spacing w:after="40" w:before="0" w:line="276" w:lineRule="auto"/>
        <w:ind w:right="0"/>
        <w:jc w:val="right"/>
      </w:pPr>
      <w:r>
        <w:rPr>
          <w:rFonts w:ascii="Noto Sans Arabic" w:hAnsi="Noto Sans Arabic" w:eastAsia="Noto Sans Arabic" w:cs="Noto Sans Arabic"/>
          <w:b w:val="0"/>
          <w:color w:val="1F2937"/>
          <w:sz w:val="20"/>
        </w:rPr>
        <w:t>• B2B / B2C / B2B2C</w:t>
      </w:r>
    </w:p>
    <w:p>
      <w:pPr>
        <w:bidi w:val="1"/>
        <w:spacing w:after="40" w:before="0" w:line="276" w:lineRule="auto"/>
        <w:ind w:right="0"/>
        <w:jc w:val="right"/>
      </w:pPr>
      <w:r>
        <w:rPr>
          <w:rFonts w:ascii="Noto Sans Arabic" w:hAnsi="Noto Sans Arabic" w:eastAsia="Noto Sans Arabic" w:cs="Noto Sans Arabic"/>
          <w:b w:val="0"/>
          <w:color w:val="1F2937"/>
          <w:sz w:val="20"/>
        </w:rPr>
        <w:t>• Geographic Scope</w:t>
      </w:r>
    </w:p>
    <w:p>
      <w:pPr>
        <w:bidi w:val="1"/>
        <w:spacing w:after="40" w:before="0" w:line="276" w:lineRule="auto"/>
        <w:ind w:right="0"/>
        <w:jc w:val="right"/>
      </w:pPr>
      <w:r>
        <w:rPr>
          <w:rFonts w:ascii="Noto Sans Arabic" w:hAnsi="Noto Sans Arabic" w:eastAsia="Noto Sans Arabic" w:cs="Noto Sans Arabic"/>
          <w:b w:val="0"/>
          <w:color w:val="1F2937"/>
          <w:sz w:val="20"/>
        </w:rPr>
        <w:t>• Regulated / Non-regulated</w:t>
      </w:r>
    </w:p>
    <w:p>
      <w:pPr>
        <w:bidi w:val="1"/>
        <w:spacing w:after="40" w:before="0" w:line="276" w:lineRule="auto"/>
        <w:ind w:right="0"/>
        <w:jc w:val="right"/>
      </w:pPr>
      <w:r>
        <w:rPr>
          <w:rFonts w:ascii="Noto Sans Arabic" w:hAnsi="Noto Sans Arabic" w:eastAsia="Noto Sans Arabic" w:cs="Noto Sans Arabic"/>
          <w:b w:val="0"/>
          <w:color w:val="1F2937"/>
          <w:sz w:val="20"/>
        </w:rPr>
        <w:t>• Number of marketing staff</w:t>
      </w:r>
    </w:p>
    <w:p>
      <w:pPr>
        <w:bidi w:val="1"/>
        <w:spacing w:after="40" w:before="0" w:line="276" w:lineRule="auto"/>
        <w:ind w:right="0"/>
        <w:jc w:val="right"/>
      </w:pPr>
      <w:r>
        <w:rPr>
          <w:rFonts w:ascii="Noto Sans Arabic" w:hAnsi="Noto Sans Arabic" w:eastAsia="Noto Sans Arabic" w:cs="Noto Sans Arabic"/>
          <w:b w:val="0"/>
          <w:color w:val="1F2937"/>
          <w:sz w:val="20"/>
        </w:rPr>
        <w:t>• Number of communication staff</w:t>
      </w:r>
    </w:p>
    <w:p>
      <w:pPr>
        <w:bidi w:val="1"/>
        <w:spacing w:after="40" w:before="0" w:line="276" w:lineRule="auto"/>
        <w:ind w:right="0"/>
        <w:jc w:val="right"/>
      </w:pPr>
      <w:r>
        <w:rPr>
          <w:rFonts w:ascii="Noto Sans Arabic" w:hAnsi="Noto Sans Arabic" w:eastAsia="Noto Sans Arabic" w:cs="Noto Sans Arabic"/>
          <w:b w:val="0"/>
          <w:color w:val="1F2937"/>
          <w:sz w:val="20"/>
        </w:rPr>
        <w:t>• Annual marketing budget range</w:t>
      </w:r>
    </w:p>
    <w:p>
      <w:pPr>
        <w:bidi w:val="1"/>
        <w:spacing w:after="40" w:before="0" w:line="276" w:lineRule="auto"/>
        <w:ind w:right="0"/>
        <w:jc w:val="right"/>
      </w:pPr>
      <w:r>
        <w:rPr>
          <w:rFonts w:ascii="Noto Sans Arabic" w:hAnsi="Noto Sans Arabic" w:eastAsia="Noto Sans Arabic" w:cs="Noto Sans Arabic"/>
          <w:b w:val="0"/>
          <w:color w:val="1F2937"/>
          <w:sz w:val="20"/>
        </w:rPr>
        <w:t>• Main social media platforms</w:t>
      </w:r>
    </w:p>
    <w:p>
      <w:pPr>
        <w:bidi w:val="1"/>
        <w:spacing w:after="40" w:before="0" w:line="276" w:lineRule="auto"/>
        <w:ind w:right="0"/>
        <w:jc w:val="right"/>
      </w:pPr>
      <w:r>
        <w:rPr>
          <w:rFonts w:ascii="Noto Sans Arabic" w:hAnsi="Noto Sans Arabic" w:eastAsia="Noto Sans Arabic" w:cs="Noto Sans Arabic"/>
          <w:b w:val="0"/>
          <w:color w:val="1F2937"/>
          <w:sz w:val="20"/>
        </w:rPr>
        <w:t>• Primary customers</w:t>
      </w:r>
    </w:p>
    <w:p>
      <w:pPr>
        <w:bidi w:val="1"/>
        <w:spacing w:after="40" w:before="0" w:line="276" w:lineRule="auto"/>
        <w:ind w:right="0"/>
        <w:jc w:val="right"/>
      </w:pPr>
      <w:r>
        <w:rPr>
          <w:rFonts w:ascii="Noto Sans Arabic" w:hAnsi="Noto Sans Arabic" w:eastAsia="Noto Sans Arabic" w:cs="Noto Sans Arabic"/>
          <w:b w:val="0"/>
          <w:color w:val="1F2937"/>
          <w:sz w:val="20"/>
        </w:rPr>
        <w:t>• Digital-native / Traditional / Hybrid</w:t>
      </w:r>
    </w:p>
    <w:p>
      <w:pPr>
        <w:bidi w:val="1"/>
        <w:spacing w:after="40" w:before="0" w:line="276" w:lineRule="auto"/>
        <w:ind w:right="0"/>
        <w:jc w:val="right"/>
      </w:pPr>
      <w:r>
        <w:rPr>
          <w:rFonts w:ascii="Noto Sans Arabic" w:hAnsi="Noto Sans Arabic" w:eastAsia="Noto Sans Arabic" w:cs="Noto Sans Arabic"/>
          <w:b w:val="0"/>
          <w:color w:val="1F2937"/>
          <w:sz w:val="20"/>
        </w:rPr>
        <w:t>• CRM used?</w:t>
      </w:r>
    </w:p>
    <w:p>
      <w:pPr>
        <w:bidi w:val="1"/>
        <w:spacing w:after="40" w:before="0" w:line="276" w:lineRule="auto"/>
        <w:ind w:right="0"/>
        <w:jc w:val="right"/>
      </w:pPr>
      <w:r>
        <w:rPr>
          <w:rFonts w:ascii="Noto Sans Arabic" w:hAnsi="Noto Sans Arabic" w:eastAsia="Noto Sans Arabic" w:cs="Noto Sans Arabic"/>
          <w:b w:val="0"/>
          <w:color w:val="1F2937"/>
          <w:sz w:val="20"/>
        </w:rPr>
        <w:t>• Marketing automation used?</w:t>
      </w:r>
    </w:p>
    <w:p>
      <w:pPr>
        <w:bidi w:val="1"/>
        <w:spacing w:after="40" w:before="0" w:line="276" w:lineRule="auto"/>
        <w:ind w:right="0"/>
        <w:jc w:val="right"/>
      </w:pPr>
      <w:r>
        <w:rPr>
          <w:rFonts w:ascii="Noto Sans Arabic" w:hAnsi="Noto Sans Arabic" w:eastAsia="Noto Sans Arabic" w:cs="Noto Sans Arabic"/>
          <w:b w:val="0"/>
          <w:color w:val="1F2937"/>
          <w:sz w:val="20"/>
        </w:rPr>
        <w:t>• Analytics tools used?</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قاعدة علمية</w:t>
              <w:br/>
            </w:r>
            <w:r>
              <w:rPr>
                <w:rFonts w:ascii="Noto Sans Arabic" w:hAnsi="Noto Sans Arabic" w:eastAsia="Noto Sans Arabic" w:cs="Noto Sans Arabic"/>
                <w:b w:val="0"/>
                <w:color w:val="1F2937"/>
                <w:sz w:val="19"/>
              </w:rPr>
              <w:t>متغيرات Company Profile هي Context Variables ولا تدخل تلقائيًا في درجة النضج.</w:t>
            </w:r>
          </w:p>
        </w:tc>
      </w:tr>
    </w:tbl>
    <w:p>
      <w:pPr>
        <w:pStyle w:val="Heading2"/>
        <w:bidi w:val="1"/>
        <w:spacing w:before="160" w:after="100"/>
        <w:jc w:val="right"/>
      </w:pPr>
      <w:r>
        <w:rPr>
          <w:rFonts w:ascii="Noto Sans Arabic" w:hAnsi="Noto Sans Arabic" w:eastAsia="Noto Sans Arabic" w:cs="Noto Sans Arabic"/>
        </w:rPr>
        <w:t>8.4 Consent</w:t>
      </w:r>
    </w:p>
    <w:p>
      <w:pPr>
        <w:bidi w:val="1"/>
        <w:spacing w:after="40" w:before="0" w:line="276" w:lineRule="auto"/>
        <w:ind w:right="0"/>
        <w:jc w:val="right"/>
      </w:pPr>
      <w:r>
        <w:rPr>
          <w:rFonts w:ascii="Noto Sans Arabic" w:hAnsi="Noto Sans Arabic" w:eastAsia="Noto Sans Arabic" w:cs="Noto Sans Arabic"/>
          <w:b w:val="0"/>
          <w:color w:val="1F2937"/>
          <w:sz w:val="20"/>
        </w:rPr>
        <w:t>• موافقة مستقلة على استخدام البيانات لأغراض التشخيص.</w:t>
      </w:r>
    </w:p>
    <w:p>
      <w:pPr>
        <w:bidi w:val="1"/>
        <w:spacing w:after="40" w:before="0" w:line="276" w:lineRule="auto"/>
        <w:ind w:right="0"/>
        <w:jc w:val="right"/>
      </w:pPr>
      <w:r>
        <w:rPr>
          <w:rFonts w:ascii="Noto Sans Arabic" w:hAnsi="Noto Sans Arabic" w:eastAsia="Noto Sans Arabic" w:cs="Noto Sans Arabic"/>
          <w:b w:val="0"/>
          <w:color w:val="1F2937"/>
          <w:sz w:val="20"/>
        </w:rPr>
        <w:t>• موافقة منفصلة على استخدام البيانات بعد إخفاء الهوية لأغراض البحث العلمي.</w:t>
      </w:r>
    </w:p>
    <w:p>
      <w:pPr>
        <w:bidi w:val="1"/>
        <w:spacing w:after="40" w:before="0" w:line="276" w:lineRule="auto"/>
        <w:ind w:right="0"/>
        <w:jc w:val="right"/>
      </w:pPr>
      <w:r>
        <w:rPr>
          <w:rFonts w:ascii="Noto Sans Arabic" w:hAnsi="Noto Sans Arabic" w:eastAsia="Noto Sans Arabic" w:cs="Noto Sans Arabic"/>
          <w:b w:val="0"/>
          <w:color w:val="1F2937"/>
          <w:sz w:val="20"/>
        </w:rPr>
        <w:t>• عدم ربط الموافقتين في Checkbox واحد.</w:t>
      </w:r>
    </w:p>
    <w:p>
      <w:pPr>
        <w:pStyle w:val="Heading2"/>
        <w:bidi w:val="1"/>
        <w:spacing w:before="160" w:after="100"/>
        <w:jc w:val="right"/>
      </w:pPr>
      <w:r>
        <w:rPr>
          <w:rFonts w:ascii="Noto Sans Arabic" w:hAnsi="Noto Sans Arabic" w:eastAsia="Noto Sans Arabic" w:cs="Noto Sans Arabic"/>
        </w:rPr>
        <w:t>8.5 Assessment UX</w:t>
      </w:r>
    </w:p>
    <w:p>
      <w:pPr>
        <w:pStyle w:val="CodeBlock"/>
        <w:spacing w:after="120"/>
        <w:ind w:left="259" w:right="259"/>
        <w:jc w:val="left"/>
        <w:shd w:fill="F2F5F7"/>
      </w:pPr>
      <w:r>
        <w:rPr>
          <w:rFonts w:ascii="DejaVu Sans" w:hAnsi="DejaVu Sans" w:eastAsia="DejaVu Sans" w:cs="DejaVu Sans"/>
          <w:b w:val="0"/>
          <w:color w:val="1F2937"/>
          <w:sz w:val="17"/>
        </w:rPr>
        <w:t>Introduction</w:t>
        <w:br/>
        <w:t>↓</w:t>
        <w:br/>
        <w:t>Company Profile</w:t>
        <w:br/>
        <w:t>↓</w:t>
        <w:br/>
        <w:t>MCM01</w:t>
        <w:br/>
        <w:t>↓</w:t>
        <w:br/>
        <w:t>MCM02</w:t>
        <w:br/>
        <w:t>↓</w:t>
        <w:br/>
        <w:t>MCM03</w:t>
        <w:br/>
        <w:t>↓</w:t>
        <w:br/>
        <w:t>MCM04</w:t>
        <w:br/>
        <w:t>↓</w:t>
        <w:br/>
        <w:t>MCM05</w:t>
        <w:br/>
        <w:t>↓</w:t>
        <w:br/>
        <w:t>MCM06</w:t>
        <w:br/>
        <w:t>↓</w:t>
        <w:br/>
        <w:t>MCM07</w:t>
        <w:br/>
        <w:t>↓</w:t>
        <w:br/>
        <w:t>SMCE</w:t>
        <w:br/>
        <w:t>↓</w:t>
        <w:br/>
        <w:t>Submit</w:t>
      </w:r>
    </w:p>
    <w:p>
      <w:pPr>
        <w:bidi w:val="1"/>
        <w:spacing w:after="40" w:before="0" w:line="276" w:lineRule="auto"/>
        <w:ind w:right="0"/>
        <w:jc w:val="right"/>
      </w:pPr>
      <w:r>
        <w:rPr>
          <w:rFonts w:ascii="Noto Sans Arabic" w:hAnsi="Noto Sans Arabic" w:eastAsia="Noto Sans Arabic" w:cs="Noto Sans Arabic"/>
          <w:b w:val="0"/>
          <w:color w:val="1F2937"/>
          <w:sz w:val="20"/>
        </w:rPr>
        <w:t>• عدم عرض جميع الأسئلة في صفحة واحدة.</w:t>
      </w:r>
    </w:p>
    <w:p>
      <w:pPr>
        <w:bidi w:val="1"/>
        <w:spacing w:after="40" w:before="0" w:line="276" w:lineRule="auto"/>
        <w:ind w:right="0"/>
        <w:jc w:val="right"/>
      </w:pPr>
      <w:r>
        <w:rPr>
          <w:rFonts w:ascii="Noto Sans Arabic" w:hAnsi="Noto Sans Arabic" w:eastAsia="Noto Sans Arabic" w:cs="Noto Sans Arabic"/>
          <w:b w:val="0"/>
          <w:color w:val="1F2937"/>
          <w:sz w:val="20"/>
        </w:rPr>
        <w:t>• إظهار Progress Bar والقسم الحالي.</w:t>
      </w:r>
    </w:p>
    <w:p>
      <w:pPr>
        <w:bidi w:val="1"/>
        <w:spacing w:after="40" w:before="0" w:line="276" w:lineRule="auto"/>
        <w:ind w:right="0"/>
        <w:jc w:val="right"/>
      </w:pPr>
      <w:r>
        <w:rPr>
          <w:rFonts w:ascii="Noto Sans Arabic" w:hAnsi="Noto Sans Arabic" w:eastAsia="Noto Sans Arabic" w:cs="Noto Sans Arabic"/>
          <w:b w:val="0"/>
          <w:color w:val="1F2937"/>
          <w:sz w:val="20"/>
        </w:rPr>
        <w:t>• Autosave لكل إجابة.</w:t>
      </w:r>
    </w:p>
    <w:p>
      <w:pPr>
        <w:bidi w:val="1"/>
        <w:spacing w:after="40" w:before="0" w:line="276" w:lineRule="auto"/>
        <w:ind w:right="0"/>
        <w:jc w:val="right"/>
      </w:pPr>
      <w:r>
        <w:rPr>
          <w:rFonts w:ascii="Noto Sans Arabic" w:hAnsi="Noto Sans Arabic" w:eastAsia="Noto Sans Arabic" w:cs="Noto Sans Arabic"/>
          <w:b w:val="0"/>
          <w:color w:val="1F2937"/>
          <w:sz w:val="20"/>
        </w:rPr>
        <w:t>• Save &amp; Continue Later.</w:t>
      </w:r>
    </w:p>
    <w:p>
      <w:pPr>
        <w:bidi w:val="1"/>
        <w:spacing w:after="40" w:before="0" w:line="276" w:lineRule="auto"/>
        <w:ind w:right="0"/>
        <w:jc w:val="right"/>
      </w:pPr>
      <w:r>
        <w:rPr>
          <w:rFonts w:ascii="Noto Sans Arabic" w:hAnsi="Noto Sans Arabic" w:eastAsia="Noto Sans Arabic" w:cs="Noto Sans Arabic"/>
          <w:b w:val="0"/>
          <w:color w:val="1F2937"/>
          <w:sz w:val="20"/>
        </w:rPr>
        <w:t>• استعادة آخر نقطة توقف عند العودة.</w:t>
      </w:r>
    </w:p>
    <w:p>
      <w:pPr>
        <w:pStyle w:val="Heading1"/>
        <w:bidi w:val="1"/>
        <w:spacing w:before="160" w:after="160"/>
        <w:jc w:val="right"/>
      </w:pPr>
      <w:r>
        <w:rPr>
          <w:rFonts w:ascii="Noto Sans Arabic" w:hAnsi="Noto Sans Arabic" w:eastAsia="Noto Sans Arabic" w:cs="Noto Sans Arabic"/>
        </w:rPr>
        <w:t>9. محرك الإجابات والمقاييس</w:t>
      </w:r>
    </w:p>
    <w:p>
      <w:pPr>
        <w:bidi w:val="1"/>
        <w:spacing w:after="100" w:before="0" w:line="288" w:lineRule="auto"/>
        <w:jc w:val="both"/>
      </w:pPr>
      <w:r>
        <w:rPr>
          <w:rFonts w:ascii="Noto Sans Arabic" w:hAnsi="Noto Sans Arabic" w:eastAsia="Noto Sans Arabic" w:cs="Noto Sans Arabic"/>
          <w:b w:val="0"/>
          <w:color w:val="1F2937"/>
          <w:sz w:val="21"/>
        </w:rPr>
        <w:t>يجب أن يدعم النظام أنواعًا مختلفة من البنود دون تغيير الكود.</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024"/>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نوع البند</w:t>
            </w:r>
          </w:p>
        </w:tc>
        <w:tc>
          <w:tcPr>
            <w:tcW w:type="dxa" w:w="6624"/>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الاستخدام</w:t>
            </w:r>
          </w:p>
        </w:tc>
      </w:tr>
      <w:tr>
        <w:trPr>
          <w:cantSplit/>
        </w:trPr>
        <w:tc>
          <w:tcPr>
            <w:tcW w:type="dxa" w:w="3024"/>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Likert 1–5</w:t>
            </w:r>
          </w:p>
        </w:tc>
        <w:tc>
          <w:tcPr>
            <w:tcW w:type="dxa" w:w="6624"/>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الإصدار البحثي الافتراضي المقترح.</w:t>
            </w:r>
          </w:p>
        </w:tc>
      </w:tr>
      <w:tr>
        <w:trPr>
          <w:cantSplit/>
        </w:trPr>
        <w:tc>
          <w:tcPr>
            <w:tcW w:type="dxa" w:w="3024"/>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Likert 1–7</w:t>
            </w:r>
          </w:p>
        </w:tc>
        <w:tc>
          <w:tcPr>
            <w:tcW w:type="dxa" w:w="6624"/>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للإصدارات المستقبلية.</w:t>
            </w:r>
          </w:p>
        </w:tc>
      </w:tr>
      <w:tr>
        <w:trPr>
          <w:cantSplit/>
        </w:trPr>
        <w:tc>
          <w:tcPr>
            <w:tcW w:type="dxa" w:w="3024"/>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Boolean</w:t>
            </w:r>
          </w:p>
        </w:tc>
        <w:tc>
          <w:tcPr>
            <w:tcW w:type="dxa" w:w="6624"/>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نعم/لا.</w:t>
            </w:r>
          </w:p>
        </w:tc>
      </w:tr>
      <w:tr>
        <w:trPr>
          <w:cantSplit/>
        </w:trPr>
        <w:tc>
          <w:tcPr>
            <w:tcW w:type="dxa" w:w="3024"/>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Numeric</w:t>
            </w:r>
          </w:p>
        </w:tc>
        <w:tc>
          <w:tcPr>
            <w:tcW w:type="dxa" w:w="6624"/>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قيم عددية تشغيلية.</w:t>
            </w:r>
          </w:p>
        </w:tc>
      </w:tr>
      <w:tr>
        <w:trPr>
          <w:cantSplit/>
        </w:trPr>
        <w:tc>
          <w:tcPr>
            <w:tcW w:type="dxa" w:w="3024"/>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Multiple Choice</w:t>
            </w:r>
          </w:p>
        </w:tc>
        <w:tc>
          <w:tcPr>
            <w:tcW w:type="dxa" w:w="6624"/>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متغيرات فئوية.</w:t>
            </w:r>
          </w:p>
        </w:tc>
      </w:tr>
      <w:tr>
        <w:trPr>
          <w:cantSplit/>
        </w:trPr>
        <w:tc>
          <w:tcPr>
            <w:tcW w:type="dxa" w:w="3024"/>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Text</w:t>
            </w:r>
          </w:p>
        </w:tc>
        <w:tc>
          <w:tcPr>
            <w:tcW w:type="dxa" w:w="6624"/>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إجابات مفتوحة أو ملاحظات.</w:t>
            </w:r>
          </w:p>
        </w:tc>
      </w:tr>
    </w:tbl>
    <w:p>
      <w:pPr>
        <w:spacing w:after="40"/>
      </w:pPr>
    </w:p>
    <w:p>
      <w:pPr>
        <w:bidi w:val="1"/>
        <w:spacing w:after="100" w:before="0" w:line="288" w:lineRule="auto"/>
        <w:jc w:val="both"/>
      </w:pPr>
      <w:r>
        <w:rPr>
          <w:rFonts w:ascii="Noto Sans Arabic" w:hAnsi="Noto Sans Arabic" w:eastAsia="Noto Sans Arabic" w:cs="Noto Sans Arabic"/>
          <w:b w:val="0"/>
          <w:color w:val="1F2937"/>
          <w:sz w:val="21"/>
        </w:rPr>
        <w:t>تكون Labels قابلة للتعديل. مثال 1–5: لا ينطبق إطلاقًا، بدرجة ضعيفة، بدرجة متوسطة، بدرجة كبيرة، بدرجة كبيرة جدًا.</w:t>
      </w:r>
    </w:p>
    <w:p>
      <w:pPr>
        <w:pStyle w:val="Heading1"/>
        <w:bidi w:val="1"/>
        <w:spacing w:before="160" w:after="160"/>
        <w:jc w:val="right"/>
      </w:pPr>
      <w:r>
        <w:rPr>
          <w:rFonts w:ascii="Noto Sans Arabic" w:hAnsi="Noto Sans Arabic" w:eastAsia="Noto Sans Arabic" w:cs="Noto Sans Arabic"/>
        </w:rPr>
        <w:t>10. Scoring Engine</w:t>
      </w:r>
    </w:p>
    <w:p>
      <w:pPr>
        <w:bidi w:val="1"/>
        <w:spacing w:after="100" w:before="0" w:line="288" w:lineRule="auto"/>
        <w:jc w:val="both"/>
      </w:pPr>
      <w:r>
        <w:rPr>
          <w:rFonts w:ascii="Noto Sans Arabic" w:hAnsi="Noto Sans Arabic" w:eastAsia="Noto Sans Arabic" w:cs="Noto Sans Arabic"/>
          <w:b w:val="0"/>
          <w:color w:val="1F2937"/>
          <w:sz w:val="21"/>
        </w:rPr>
        <w:t>كل الحسابات العلمية تتم على الخادم Server-side وليس داخل واجهة المستخدم.</w:t>
      </w:r>
    </w:p>
    <w:p>
      <w:pPr>
        <w:pStyle w:val="Heading2"/>
        <w:bidi w:val="1"/>
        <w:spacing w:before="160" w:after="100"/>
        <w:jc w:val="right"/>
      </w:pPr>
      <w:r>
        <w:rPr>
          <w:rFonts w:ascii="Noto Sans Arabic" w:hAnsi="Noto Sans Arabic" w:eastAsia="Noto Sans Arabic" w:cs="Noto Sans Arabic"/>
        </w:rPr>
        <w:t>10.1 تطبيع درجة البند</w:t>
      </w:r>
    </w:p>
    <w:p>
      <w:pPr>
        <w:pStyle w:val="CodeBlock"/>
        <w:spacing w:after="120"/>
        <w:ind w:left="259" w:right="259"/>
        <w:jc w:val="left"/>
        <w:shd w:fill="F2F5F7"/>
      </w:pPr>
      <w:r>
        <w:rPr>
          <w:rFonts w:ascii="DejaVu Sans" w:hAnsi="DejaVu Sans" w:eastAsia="DejaVu Sans" w:cs="DejaVu Sans"/>
          <w:b w:val="0"/>
          <w:color w:val="1F2937"/>
          <w:sz w:val="17"/>
        </w:rPr>
        <w:t>NormalizedScore = ((response - min) / (max - min)) * 100</w:t>
      </w:r>
    </w:p>
    <w:p>
      <w:pPr>
        <w:pStyle w:val="Heading2"/>
        <w:bidi w:val="1"/>
        <w:spacing w:before="160" w:after="100"/>
        <w:jc w:val="right"/>
      </w:pPr>
      <w:r>
        <w:rPr>
          <w:rFonts w:ascii="Noto Sans Arabic" w:hAnsi="Noto Sans Arabic" w:eastAsia="Noto Sans Arabic" w:cs="Noto Sans Arabic"/>
        </w:rPr>
        <w:t>10.2 Reverse Coding</w:t>
      </w:r>
    </w:p>
    <w:p>
      <w:pPr>
        <w:bidi w:val="1"/>
        <w:spacing w:after="100" w:before="0" w:line="288" w:lineRule="auto"/>
        <w:jc w:val="both"/>
      </w:pPr>
      <w:r>
        <w:rPr>
          <w:rFonts w:ascii="Noto Sans Arabic" w:hAnsi="Noto Sans Arabic" w:eastAsia="Noto Sans Arabic" w:cs="Noto Sans Arabic"/>
          <w:b w:val="0"/>
          <w:color w:val="1F2937"/>
          <w:sz w:val="21"/>
        </w:rPr>
        <w:t>يدعم النظام البنود العكسية عبر Metadata في قاعدة البيانات قبل حساب الدرجة.</w:t>
      </w:r>
    </w:p>
    <w:p>
      <w:pPr>
        <w:pStyle w:val="Heading2"/>
        <w:bidi w:val="1"/>
        <w:spacing w:before="160" w:after="100"/>
        <w:jc w:val="right"/>
      </w:pPr>
      <w:r>
        <w:rPr>
          <w:rFonts w:ascii="Noto Sans Arabic" w:hAnsi="Noto Sans Arabic" w:eastAsia="Noto Sans Arabic" w:cs="Noto Sans Arabic"/>
        </w:rPr>
        <w:t>10.3 Dimension Score</w:t>
      </w:r>
    </w:p>
    <w:p>
      <w:pPr>
        <w:pStyle w:val="CodeBlock"/>
        <w:spacing w:after="120"/>
        <w:ind w:left="259" w:right="259"/>
        <w:jc w:val="left"/>
        <w:shd w:fill="F2F5F7"/>
      </w:pPr>
      <w:r>
        <w:rPr>
          <w:rFonts w:ascii="DejaVu Sans" w:hAnsi="DejaVu Sans" w:eastAsia="DejaVu Sans" w:cs="DejaVu Sans"/>
          <w:b w:val="0"/>
          <w:color w:val="1F2937"/>
          <w:sz w:val="17"/>
        </w:rPr>
        <w:t>Dimension Score = Mean of answered items</w:t>
        <w:br/>
        <w:t>OR</w:t>
        <w:br/>
        <w:t>Weighted Mean using configurable item weights</w:t>
      </w:r>
    </w:p>
    <w:p>
      <w:pPr>
        <w:pStyle w:val="Heading2"/>
        <w:bidi w:val="1"/>
        <w:spacing w:before="160" w:after="100"/>
        <w:jc w:val="right"/>
      </w:pPr>
      <w:r>
        <w:rPr>
          <w:rFonts w:ascii="Noto Sans Arabic" w:hAnsi="Noto Sans Arabic" w:eastAsia="Noto Sans Arabic" w:cs="Noto Sans Arabic"/>
        </w:rPr>
        <w:t>10.4 MCM Overall</w:t>
      </w:r>
    </w:p>
    <w:p>
      <w:pPr>
        <w:pStyle w:val="CodeBlock"/>
        <w:spacing w:after="120"/>
        <w:ind w:left="259" w:right="259"/>
        <w:jc w:val="left"/>
        <w:shd w:fill="F2F5F7"/>
      </w:pPr>
      <w:r>
        <w:rPr>
          <w:rFonts w:ascii="DejaVu Sans" w:hAnsi="DejaVu Sans" w:eastAsia="DejaVu Sans" w:cs="DejaVu Sans"/>
          <w:b w:val="0"/>
          <w:color w:val="1F2937"/>
          <w:sz w:val="17"/>
        </w:rPr>
        <w:t>MCM Score = Weighted Mean(MCM01 ... MCM07)</w:t>
      </w:r>
    </w:p>
    <w:p>
      <w:pPr>
        <w:bidi w:val="1"/>
        <w:spacing w:after="100" w:before="0" w:line="288" w:lineRule="auto"/>
        <w:jc w:val="both"/>
      </w:pPr>
      <w:r>
        <w:rPr>
          <w:rFonts w:ascii="Noto Sans Arabic" w:hAnsi="Noto Sans Arabic" w:eastAsia="Noto Sans Arabic" w:cs="Noto Sans Arabic"/>
          <w:b w:val="0"/>
          <w:color w:val="1F2937"/>
          <w:sz w:val="21"/>
        </w:rPr>
        <w:t>أوزان الأبعاد تأتي من قاعدة البيانات ولا تُثبت 1/7 داخل الكود.</w:t>
      </w:r>
    </w:p>
    <w:p>
      <w:pPr>
        <w:pStyle w:val="Heading2"/>
        <w:bidi w:val="1"/>
        <w:spacing w:before="160" w:after="100"/>
        <w:jc w:val="right"/>
      </w:pPr>
      <w:r>
        <w:rPr>
          <w:rFonts w:ascii="Noto Sans Arabic" w:hAnsi="Noto Sans Arabic" w:eastAsia="Noto Sans Arabic" w:cs="Noto Sans Arabic"/>
        </w:rPr>
        <w:t>10.5 SMCE</w:t>
      </w:r>
    </w:p>
    <w:p>
      <w:pPr>
        <w:bidi w:val="1"/>
        <w:spacing w:after="100" w:before="0" w:line="288" w:lineRule="auto"/>
        <w:jc w:val="both"/>
      </w:pPr>
      <w:r>
        <w:rPr>
          <w:rFonts w:ascii="Noto Sans Arabic" w:hAnsi="Noto Sans Arabic" w:eastAsia="Noto Sans Arabic" w:cs="Noto Sans Arabic"/>
          <w:b w:val="0"/>
          <w:color w:val="1F2937"/>
          <w:sz w:val="21"/>
        </w:rPr>
        <w:t>يُحسب SMCE بصورة مستقلة وبأوزان قابلة للتعديل، ولا يدخل في درجة MCM.</w:t>
      </w:r>
    </w:p>
    <w:p>
      <w:pPr>
        <w:pStyle w:val="Heading1"/>
        <w:bidi w:val="1"/>
        <w:spacing w:before="160" w:after="160"/>
        <w:jc w:val="right"/>
      </w:pPr>
      <w:r>
        <w:rPr>
          <w:rFonts w:ascii="Noto Sans Arabic" w:hAnsi="Noto Sans Arabic" w:eastAsia="Noto Sans Arabic" w:cs="Noto Sans Arabic"/>
        </w:rPr>
        <w:t>11. مستويات النضج</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15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المستوى</w:t>
            </w:r>
          </w:p>
        </w:tc>
        <w:tc>
          <w:tcPr>
            <w:tcW w:type="dxa" w:w="403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الاسم الإنجليزي</w:t>
            </w:r>
          </w:p>
        </w:tc>
        <w:tc>
          <w:tcPr>
            <w:tcW w:type="dxa" w:w="4608"/>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الاسم العربي/الوصف</w:t>
            </w:r>
          </w:p>
        </w:tc>
      </w:tr>
      <w:tr>
        <w:trPr>
          <w:cantSplit/>
        </w:trPr>
        <w:tc>
          <w:tcPr>
            <w:tcW w:type="dxa" w:w="11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1</w:t>
            </w:r>
          </w:p>
        </w:tc>
        <w:tc>
          <w:tcPr>
            <w:tcW w:type="dxa" w:w="403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Reactive / Ad hoc</w:t>
            </w:r>
          </w:p>
        </w:tc>
        <w:tc>
          <w:tcPr>
            <w:tcW w:type="dxa" w:w="460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تفاعلي / عشوائي</w:t>
            </w:r>
          </w:p>
        </w:tc>
      </w:tr>
      <w:tr>
        <w:trPr>
          <w:cantSplit/>
        </w:trPr>
        <w:tc>
          <w:tcPr>
            <w:tcW w:type="dxa" w:w="115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2</w:t>
            </w:r>
          </w:p>
        </w:tc>
        <w:tc>
          <w:tcPr>
            <w:tcW w:type="dxa" w:w="403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Responsive / Emerging</w:t>
            </w:r>
          </w:p>
        </w:tc>
        <w:tc>
          <w:tcPr>
            <w:tcW w:type="dxa" w:w="4608"/>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مستجيب / ناشئ</w:t>
            </w:r>
          </w:p>
        </w:tc>
      </w:tr>
      <w:tr>
        <w:trPr>
          <w:cantSplit/>
        </w:trPr>
        <w:tc>
          <w:tcPr>
            <w:tcW w:type="dxa" w:w="11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3</w:t>
            </w:r>
          </w:p>
        </w:tc>
        <w:tc>
          <w:tcPr>
            <w:tcW w:type="dxa" w:w="403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Managed &amp; Integrated</w:t>
            </w:r>
          </w:p>
        </w:tc>
        <w:tc>
          <w:tcPr>
            <w:tcW w:type="dxa" w:w="460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مدار ومتكامل</w:t>
            </w:r>
          </w:p>
        </w:tc>
      </w:tr>
      <w:tr>
        <w:trPr>
          <w:cantSplit/>
        </w:trPr>
        <w:tc>
          <w:tcPr>
            <w:tcW w:type="dxa" w:w="115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4</w:t>
            </w:r>
          </w:p>
        </w:tc>
        <w:tc>
          <w:tcPr>
            <w:tcW w:type="dxa" w:w="403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Proactive &amp; Adaptive</w:t>
            </w:r>
          </w:p>
        </w:tc>
        <w:tc>
          <w:tcPr>
            <w:tcW w:type="dxa" w:w="4608"/>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استباقي ومتكيّف</w:t>
            </w:r>
          </w:p>
        </w:tc>
      </w:tr>
      <w:tr>
        <w:trPr>
          <w:cantSplit/>
        </w:trPr>
        <w:tc>
          <w:tcPr>
            <w:tcW w:type="dxa" w:w="11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5</w:t>
            </w:r>
          </w:p>
        </w:tc>
        <w:tc>
          <w:tcPr>
            <w:tcW w:type="dxa" w:w="403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Institutionalised &amp; Intelligent</w:t>
            </w:r>
          </w:p>
        </w:tc>
        <w:tc>
          <w:tcPr>
            <w:tcW w:type="dxa" w:w="460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مؤسسي وذكي</w:t>
            </w:r>
          </w:p>
        </w:tc>
      </w:tr>
    </w:tbl>
    <w:p>
      <w:pPr>
        <w:spacing w:after="40"/>
      </w:pPr>
    </w:p>
    <w:p>
      <w:pPr>
        <w:bidi w:val="1"/>
        <w:spacing w:after="100" w:before="0" w:line="288" w:lineRule="auto"/>
        <w:jc w:val="both"/>
      </w:pPr>
      <w:r>
        <w:rPr>
          <w:rFonts w:ascii="Noto Sans Arabic" w:hAnsi="Noto Sans Arabic" w:eastAsia="Noto Sans Arabic" w:cs="Noto Sans Arabic"/>
          <w:b w:val="0"/>
          <w:color w:val="1F2937"/>
          <w:sz w:val="21"/>
        </w:rPr>
        <w:t>يتم تخزين حدود الدرجات minimum_score وmaximum_score واسم المستوى ووصفه ونسخته في جدول maturity_levels حتى يمكن تعديلها بعد التحقق العلمي.</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تنبيه</w:t>
              <w:br/>
            </w:r>
            <w:r>
              <w:rPr>
                <w:rFonts w:ascii="Noto Sans Arabic" w:hAnsi="Noto Sans Arabic" w:eastAsia="Noto Sans Arabic" w:cs="Noto Sans Arabic"/>
                <w:b w:val="0"/>
                <w:color w:val="1F2937"/>
                <w:sz w:val="19"/>
              </w:rPr>
              <w:t>هذه المستويات Developmental Logic مبدئي وليست Cut-offs مُثبتة علميًا حتى الآن.</w:t>
            </w:r>
          </w:p>
        </w:tc>
      </w:tr>
    </w:tbl>
    <w:p>
      <w:pPr>
        <w:pStyle w:val="Heading1"/>
        <w:bidi w:val="1"/>
        <w:spacing w:before="160" w:after="160"/>
        <w:jc w:val="right"/>
      </w:pPr>
      <w:r>
        <w:rPr>
          <w:rFonts w:ascii="Noto Sans Arabic" w:hAnsi="Noto Sans Arabic" w:eastAsia="Noto Sans Arabic" w:cs="Noto Sans Arabic"/>
        </w:rPr>
        <w:t>12. صفحة النتائج</w:t>
      </w:r>
    </w:p>
    <w:p>
      <w:pPr>
        <w:bidi w:val="1"/>
        <w:spacing w:after="40" w:before="0" w:line="276" w:lineRule="auto"/>
        <w:ind w:right="0"/>
        <w:jc w:val="right"/>
      </w:pPr>
      <w:r>
        <w:rPr>
          <w:rFonts w:ascii="Noto Sans Arabic" w:hAnsi="Noto Sans Arabic" w:eastAsia="Noto Sans Arabic" w:cs="Noto Sans Arabic"/>
          <w:b w:val="0"/>
          <w:color w:val="1F2937"/>
          <w:sz w:val="20"/>
        </w:rPr>
        <w:t>• إظهار MCM Score من 100.</w:t>
      </w:r>
    </w:p>
    <w:p>
      <w:pPr>
        <w:bidi w:val="1"/>
        <w:spacing w:after="40" w:before="0" w:line="276" w:lineRule="auto"/>
        <w:ind w:right="0"/>
        <w:jc w:val="right"/>
      </w:pPr>
      <w:r>
        <w:rPr>
          <w:rFonts w:ascii="Noto Sans Arabic" w:hAnsi="Noto Sans Arabic" w:eastAsia="Noto Sans Arabic" w:cs="Noto Sans Arabic"/>
          <w:b w:val="0"/>
          <w:color w:val="1F2937"/>
          <w:sz w:val="20"/>
        </w:rPr>
        <w:t>• إظهار Maturity Level.</w:t>
      </w:r>
    </w:p>
    <w:p>
      <w:pPr>
        <w:bidi w:val="1"/>
        <w:spacing w:after="40" w:before="0" w:line="276" w:lineRule="auto"/>
        <w:ind w:right="0"/>
        <w:jc w:val="right"/>
      </w:pPr>
      <w:r>
        <w:rPr>
          <w:rFonts w:ascii="Noto Sans Arabic" w:hAnsi="Noto Sans Arabic" w:eastAsia="Noto Sans Arabic" w:cs="Noto Sans Arabic"/>
          <w:b w:val="0"/>
          <w:color w:val="1F2937"/>
          <w:sz w:val="20"/>
        </w:rPr>
        <w:t>• Radar Chart للأبعاد السبعة.</w:t>
      </w:r>
    </w:p>
    <w:p>
      <w:pPr>
        <w:bidi w:val="1"/>
        <w:spacing w:after="40" w:before="0" w:line="276" w:lineRule="auto"/>
        <w:ind w:right="0"/>
        <w:jc w:val="right"/>
      </w:pPr>
      <w:r>
        <w:rPr>
          <w:rFonts w:ascii="Noto Sans Arabic" w:hAnsi="Noto Sans Arabic" w:eastAsia="Noto Sans Arabic" w:cs="Noto Sans Arabic"/>
          <w:b w:val="0"/>
          <w:color w:val="1F2937"/>
          <w:sz w:val="20"/>
        </w:rPr>
        <w:t>• قائمة رقمية بدرجة كل بعد.</w:t>
      </w:r>
    </w:p>
    <w:p>
      <w:pPr>
        <w:bidi w:val="1"/>
        <w:spacing w:after="40" w:before="0" w:line="276" w:lineRule="auto"/>
        <w:ind w:right="0"/>
        <w:jc w:val="right"/>
      </w:pPr>
      <w:r>
        <w:rPr>
          <w:rFonts w:ascii="Noto Sans Arabic" w:hAnsi="Noto Sans Arabic" w:eastAsia="Noto Sans Arabic" w:cs="Noto Sans Arabic"/>
          <w:b w:val="0"/>
          <w:color w:val="1F2937"/>
          <w:sz w:val="20"/>
        </w:rPr>
        <w:t>• نقاط القوة.</w:t>
      </w:r>
    </w:p>
    <w:p>
      <w:pPr>
        <w:bidi w:val="1"/>
        <w:spacing w:after="40" w:before="0" w:line="276" w:lineRule="auto"/>
        <w:ind w:right="0"/>
        <w:jc w:val="right"/>
      </w:pPr>
      <w:r>
        <w:rPr>
          <w:rFonts w:ascii="Noto Sans Arabic" w:hAnsi="Noto Sans Arabic" w:eastAsia="Noto Sans Arabic" w:cs="Noto Sans Arabic"/>
          <w:b w:val="0"/>
          <w:color w:val="1F2937"/>
          <w:sz w:val="20"/>
        </w:rPr>
        <w:t>• الفجوات.</w:t>
      </w:r>
    </w:p>
    <w:p>
      <w:pPr>
        <w:bidi w:val="1"/>
        <w:spacing w:after="40" w:before="0" w:line="276" w:lineRule="auto"/>
        <w:ind w:right="0"/>
        <w:jc w:val="right"/>
      </w:pPr>
      <w:r>
        <w:rPr>
          <w:rFonts w:ascii="Noto Sans Arabic" w:hAnsi="Noto Sans Arabic" w:eastAsia="Noto Sans Arabic" w:cs="Noto Sans Arabic"/>
          <w:b w:val="0"/>
          <w:color w:val="1F2937"/>
          <w:sz w:val="20"/>
        </w:rPr>
        <w:t>• التشخيص العميق.</w:t>
      </w:r>
    </w:p>
    <w:p>
      <w:pPr>
        <w:bidi w:val="1"/>
        <w:spacing w:after="40" w:before="0" w:line="276" w:lineRule="auto"/>
        <w:ind w:right="0"/>
        <w:jc w:val="right"/>
      </w:pPr>
      <w:r>
        <w:rPr>
          <w:rFonts w:ascii="Noto Sans Arabic" w:hAnsi="Noto Sans Arabic" w:eastAsia="Noto Sans Arabic" w:cs="Noto Sans Arabic"/>
          <w:b w:val="0"/>
          <w:color w:val="1F2937"/>
          <w:sz w:val="20"/>
        </w:rPr>
        <w:t>• SMCE في قسم منفصل.</w:t>
      </w:r>
    </w:p>
    <w:p>
      <w:pPr>
        <w:bidi w:val="1"/>
        <w:spacing w:after="40" w:before="0" w:line="276" w:lineRule="auto"/>
        <w:ind w:right="0"/>
        <w:jc w:val="right"/>
      </w:pPr>
      <w:r>
        <w:rPr>
          <w:rFonts w:ascii="Noto Sans Arabic" w:hAnsi="Noto Sans Arabic" w:eastAsia="Noto Sans Arabic" w:cs="Noto Sans Arabic"/>
          <w:b w:val="0"/>
          <w:color w:val="1F2937"/>
          <w:sz w:val="20"/>
        </w:rPr>
        <w:t>• Benchmark عند توفر العينة.</w:t>
      </w:r>
    </w:p>
    <w:p>
      <w:pPr>
        <w:bidi w:val="1"/>
        <w:spacing w:after="40" w:before="0" w:line="276" w:lineRule="auto"/>
        <w:ind w:right="0"/>
        <w:jc w:val="right"/>
      </w:pPr>
      <w:r>
        <w:rPr>
          <w:rFonts w:ascii="Noto Sans Arabic" w:hAnsi="Noto Sans Arabic" w:eastAsia="Noto Sans Arabic" w:cs="Noto Sans Arabic"/>
          <w:b w:val="0"/>
          <w:color w:val="1F2937"/>
          <w:sz w:val="20"/>
        </w:rPr>
        <w:t>• خطة التحسين.</w:t>
      </w:r>
    </w:p>
    <w:p>
      <w:pPr>
        <w:pStyle w:val="CodeBlock"/>
        <w:spacing w:after="120"/>
        <w:ind w:left="259" w:right="259"/>
        <w:jc w:val="left"/>
        <w:shd w:fill="F2F5F7"/>
      </w:pPr>
      <w:r>
        <w:rPr>
          <w:rFonts w:ascii="DejaVu Sans" w:hAnsi="DejaVu Sans" w:eastAsia="DejaVu Sans" w:cs="DejaVu Sans"/>
          <w:b w:val="0"/>
          <w:color w:val="1F2937"/>
          <w:sz w:val="17"/>
        </w:rPr>
        <w:t>Example:</w:t>
        <w:br/>
        <w:t>MCM Score: 72/100</w:t>
        <w:br/>
        <w:t>Level 4: Proactive &amp; Adaptive</w:t>
        <w:br/>
        <w:t>MCM01 84 | MCM02 76 | MCM03 58 | MCM04 73 | MCM05 81 | MCM06 64 | MCM07 67</w:t>
      </w:r>
    </w:p>
    <w:p>
      <w:pPr>
        <w:pStyle w:val="Heading1"/>
        <w:bidi w:val="1"/>
        <w:spacing w:before="160" w:after="160"/>
        <w:jc w:val="right"/>
      </w:pPr>
      <w:r>
        <w:rPr>
          <w:rFonts w:ascii="Noto Sans Arabic" w:hAnsi="Noto Sans Arabic" w:eastAsia="Noto Sans Arabic" w:cs="Noto Sans Arabic"/>
        </w:rPr>
        <w:t>13. Diagnostic Engine</w:t>
      </w:r>
    </w:p>
    <w:p>
      <w:pPr>
        <w:bidi w:val="1"/>
        <w:spacing w:after="100" w:before="0" w:line="288" w:lineRule="auto"/>
        <w:jc w:val="both"/>
      </w:pPr>
      <w:r>
        <w:rPr>
          <w:rFonts w:ascii="Noto Sans Arabic" w:hAnsi="Noto Sans Arabic" w:eastAsia="Noto Sans Arabic" w:cs="Noto Sans Arabic"/>
          <w:b w:val="0"/>
          <w:color w:val="1F2937"/>
          <w:sz w:val="21"/>
        </w:rPr>
        <w:t>القيمة الأساسية للمنصة ليست الرقم فقط؛ بل تفسير العلاقات بين الأبعاد. يجب أن يكون محرك التشخيص Rule Engine قائمًا على قواعد مخزنة في قاعدة البيانات.</w:t>
      </w:r>
    </w:p>
    <w:p>
      <w:pPr>
        <w:pStyle w:val="CodeBlock"/>
        <w:spacing w:after="120"/>
        <w:ind w:left="259" w:right="259"/>
        <w:jc w:val="left"/>
        <w:shd w:fill="F2F5F7"/>
      </w:pPr>
      <w:r>
        <w:rPr>
          <w:rFonts w:ascii="DejaVu Sans" w:hAnsi="DejaVu Sans" w:eastAsia="DejaVu Sans" w:cs="DejaVu Sans"/>
          <w:b w:val="0"/>
          <w:color w:val="1F2937"/>
          <w:sz w:val="17"/>
        </w:rPr>
        <w:t>Rule ID: R-INFO-001</w:t>
        <w:br/>
        <w:t>IF: MCM03 &lt; 50</w:t>
        <w:br/>
        <w:t>AND: MCM01 &gt; 70</w:t>
        <w:br/>
        <w:t>THEN: Information Governance Gap</w:t>
        <w:br/>
        <w:t>Severity: HIGH</w:t>
      </w:r>
    </w:p>
    <w:p>
      <w:pPr>
        <w:pStyle w:val="Heading2"/>
        <w:bidi w:val="1"/>
        <w:spacing w:before="160" w:after="100"/>
        <w:jc w:val="right"/>
      </w:pPr>
      <w:r>
        <w:rPr>
          <w:rFonts w:ascii="Noto Sans Arabic" w:hAnsi="Noto Sans Arabic" w:eastAsia="Noto Sans Arabic" w:cs="Noto Sans Arabic"/>
        </w:rPr>
        <w:t>13.1 أنماط التشخيص المطلوبة</w:t>
      </w:r>
    </w:p>
    <w:p>
      <w:pPr>
        <w:bidi w:val="1"/>
        <w:spacing w:after="40" w:before="0" w:line="276" w:lineRule="auto"/>
        <w:ind w:right="0"/>
        <w:jc w:val="right"/>
      </w:pPr>
      <w:r>
        <w:rPr>
          <w:rFonts w:ascii="Noto Sans Arabic" w:hAnsi="Noto Sans Arabic" w:eastAsia="Noto Sans Arabic" w:cs="Noto Sans Arabic"/>
          <w:b w:val="0"/>
          <w:color w:val="1F2937"/>
          <w:sz w:val="20"/>
        </w:rPr>
        <w:t>• Information Integrity Risk — ضعف حوكمة المعلومات.</w:t>
      </w:r>
    </w:p>
    <w:p>
      <w:pPr>
        <w:bidi w:val="1"/>
        <w:spacing w:after="40" w:before="0" w:line="276" w:lineRule="auto"/>
        <w:ind w:right="0"/>
        <w:jc w:val="right"/>
      </w:pPr>
      <w:r>
        <w:rPr>
          <w:rFonts w:ascii="Noto Sans Arabic" w:hAnsi="Noto Sans Arabic" w:eastAsia="Noto Sans Arabic" w:cs="Noto Sans Arabic"/>
          <w:b w:val="0"/>
          <w:color w:val="1F2937"/>
          <w:sz w:val="20"/>
        </w:rPr>
        <w:t>• Strategy–Execution Gap — استراتيجية قوية وتنفيذ ضعيف.</w:t>
      </w:r>
    </w:p>
    <w:p>
      <w:pPr>
        <w:bidi w:val="1"/>
        <w:spacing w:after="40" w:before="0" w:line="276" w:lineRule="auto"/>
        <w:ind w:right="0"/>
        <w:jc w:val="right"/>
      </w:pPr>
      <w:r>
        <w:rPr>
          <w:rFonts w:ascii="Noto Sans Arabic" w:hAnsi="Noto Sans Arabic" w:eastAsia="Noto Sans Arabic" w:cs="Noto Sans Arabic"/>
          <w:b w:val="0"/>
          <w:color w:val="1F2937"/>
          <w:sz w:val="20"/>
        </w:rPr>
        <w:t>• Promise–Experience Gap — وعود قوية وتجربة ضعيفة.</w:t>
      </w:r>
    </w:p>
    <w:p>
      <w:pPr>
        <w:bidi w:val="1"/>
        <w:spacing w:after="40" w:before="0" w:line="276" w:lineRule="auto"/>
        <w:ind w:right="0"/>
        <w:jc w:val="right"/>
      </w:pPr>
      <w:r>
        <w:rPr>
          <w:rFonts w:ascii="Noto Sans Arabic" w:hAnsi="Noto Sans Arabic" w:eastAsia="Noto Sans Arabic" w:cs="Noto Sans Arabic"/>
          <w:b w:val="0"/>
          <w:color w:val="1F2937"/>
          <w:sz w:val="20"/>
        </w:rPr>
        <w:t>• Data Without Learning — بيانات كثيرة دون تحويلها إلى تعلم وقرار.</w:t>
      </w:r>
    </w:p>
    <w:p>
      <w:pPr>
        <w:bidi w:val="1"/>
        <w:spacing w:after="40" w:before="0" w:line="276" w:lineRule="auto"/>
        <w:ind w:right="0"/>
        <w:jc w:val="right"/>
      </w:pPr>
      <w:r>
        <w:rPr>
          <w:rFonts w:ascii="Noto Sans Arabic" w:hAnsi="Noto Sans Arabic" w:eastAsia="Noto Sans Arabic" w:cs="Noto Sans Arabic"/>
          <w:b w:val="0"/>
          <w:color w:val="1F2937"/>
          <w:sz w:val="20"/>
        </w:rPr>
        <w:t>• Key Person Dependency — اعتماد المعرفة على أفراد.</w:t>
      </w:r>
    </w:p>
    <w:p>
      <w:pPr>
        <w:bidi w:val="1"/>
        <w:spacing w:after="40" w:before="0" w:line="276" w:lineRule="auto"/>
        <w:ind w:right="0"/>
        <w:jc w:val="right"/>
      </w:pPr>
      <w:r>
        <w:rPr>
          <w:rFonts w:ascii="Noto Sans Arabic" w:hAnsi="Noto Sans Arabic" w:eastAsia="Noto Sans Arabic" w:cs="Noto Sans Arabic"/>
          <w:b w:val="0"/>
          <w:color w:val="1F2937"/>
          <w:sz w:val="20"/>
        </w:rPr>
        <w:t>• Journey Fragmentation — تجزؤ رحلة العميل.</w:t>
      </w:r>
    </w:p>
    <w:p>
      <w:pPr>
        <w:bidi w:val="1"/>
        <w:spacing w:after="40" w:before="0" w:line="276" w:lineRule="auto"/>
        <w:ind w:right="0"/>
        <w:jc w:val="right"/>
      </w:pPr>
      <w:r>
        <w:rPr>
          <w:rFonts w:ascii="Noto Sans Arabic" w:hAnsi="Noto Sans Arabic" w:eastAsia="Noto Sans Arabic" w:cs="Noto Sans Arabic"/>
          <w:b w:val="0"/>
          <w:color w:val="1F2937"/>
          <w:sz w:val="20"/>
        </w:rPr>
        <w:t>• Communication Friction — ارتفاع الاستفسارات والتصحيحات والتكرار.</w:t>
      </w:r>
    </w:p>
    <w:p>
      <w:pPr>
        <w:bidi w:val="1"/>
        <w:spacing w:after="40" w:before="0" w:line="276" w:lineRule="auto"/>
        <w:ind w:right="0"/>
        <w:jc w:val="right"/>
      </w:pPr>
      <w:r>
        <w:rPr>
          <w:rFonts w:ascii="Noto Sans Arabic" w:hAnsi="Noto Sans Arabic" w:eastAsia="Noto Sans Arabic" w:cs="Noto Sans Arabic"/>
          <w:b w:val="0"/>
          <w:color w:val="1F2937"/>
          <w:sz w:val="20"/>
        </w:rPr>
        <w:t>• Stakeholder Misalignment — عدم التمييز بين أصحاب المصلحة.</w:t>
      </w:r>
    </w:p>
    <w:p>
      <w:pPr>
        <w:bidi w:val="1"/>
        <w:spacing w:after="40" w:before="0" w:line="276" w:lineRule="auto"/>
        <w:ind w:right="0"/>
        <w:jc w:val="right"/>
      </w:pPr>
      <w:r>
        <w:rPr>
          <w:rFonts w:ascii="Noto Sans Arabic" w:hAnsi="Noto Sans Arabic" w:eastAsia="Noto Sans Arabic" w:cs="Noto Sans Arabic"/>
          <w:b w:val="0"/>
          <w:color w:val="1F2937"/>
          <w:sz w:val="20"/>
        </w:rPr>
        <w:t>• Reactive Communication — التواصل بعد وقوع المشكلة فقط.</w:t>
      </w:r>
    </w:p>
    <w:p>
      <w:pPr>
        <w:bidi w:val="1"/>
        <w:spacing w:after="40" w:before="0" w:line="276" w:lineRule="auto"/>
        <w:ind w:right="0"/>
        <w:jc w:val="right"/>
      </w:pPr>
      <w:r>
        <w:rPr>
          <w:rFonts w:ascii="Noto Sans Arabic" w:hAnsi="Noto Sans Arabic" w:eastAsia="Noto Sans Arabic" w:cs="Noto Sans Arabic"/>
          <w:b w:val="0"/>
          <w:color w:val="1F2937"/>
          <w:sz w:val="20"/>
        </w:rPr>
        <w:t>• Scalability Risk — تدهور جودة الاتصال عند التوسع.</w:t>
      </w:r>
    </w:p>
    <w:p>
      <w:pPr>
        <w:pStyle w:val="Heading2"/>
        <w:bidi w:val="1"/>
        <w:spacing w:before="160" w:after="100"/>
        <w:jc w:val="right"/>
      </w:pPr>
      <w:r>
        <w:rPr>
          <w:rFonts w:ascii="Noto Sans Arabic" w:hAnsi="Noto Sans Arabic" w:eastAsia="Noto Sans Arabic" w:cs="Noto Sans Arabic"/>
        </w:rPr>
        <w:t>13.2 مثال تشخيص عميق</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مثال</w:t>
              <w:br/>
            </w:r>
            <w:r>
              <w:rPr>
                <w:rFonts w:ascii="Noto Sans Arabic" w:hAnsi="Noto Sans Arabic" w:eastAsia="Noto Sans Arabic" w:cs="Noto Sans Arabic"/>
                <w:b w:val="0"/>
                <w:color w:val="1F2937"/>
                <w:sz w:val="19"/>
              </w:rPr>
              <w:t>إذا كان MCM01 = 86 وMCM03 = 42، لا تكتفِ بعبارة «حوكمة المعلومات ضعيفة». يجب أن ينتج النظام تفسيرًا مثل: تمتلك الشركة توجهًا استراتيجيًا قويًا، إلا أن قدرتها على إدارة صحة المعلومات وتحديثها أقل بكثير، مما يشير إلى فجوة بين القرار الاستراتيجي والبنية المعلوماتية التي تنفذه.</w:t>
            </w:r>
          </w:p>
        </w:tc>
      </w:tr>
    </w:tbl>
    <w:p>
      <w:pPr>
        <w:pStyle w:val="Heading1"/>
        <w:bidi w:val="1"/>
        <w:spacing w:before="160" w:after="160"/>
        <w:jc w:val="right"/>
      </w:pPr>
      <w:r>
        <w:rPr>
          <w:rFonts w:ascii="Noto Sans Arabic" w:hAnsi="Noto Sans Arabic" w:eastAsia="Noto Sans Arabic" w:cs="Noto Sans Arabic"/>
        </w:rPr>
        <w:t>14. Gap &amp; Priority Engine</w:t>
      </w:r>
    </w:p>
    <w:p>
      <w:pPr>
        <w:pStyle w:val="CodeBlock"/>
        <w:spacing w:after="120"/>
        <w:ind w:left="259" w:right="259"/>
        <w:jc w:val="left"/>
        <w:shd w:fill="F2F5F7"/>
      </w:pPr>
      <w:r>
        <w:rPr>
          <w:rFonts w:ascii="DejaVu Sans" w:hAnsi="DejaVu Sans" w:eastAsia="DejaVu Sans" w:cs="DejaVu Sans"/>
          <w:b w:val="0"/>
          <w:color w:val="1F2937"/>
          <w:sz w:val="17"/>
        </w:rPr>
        <w:t>Gap = Target Score - Current Score</w:t>
      </w:r>
    </w:p>
    <w:p>
      <w:pPr>
        <w:bidi w:val="1"/>
        <w:spacing w:after="100" w:before="0" w:line="288" w:lineRule="auto"/>
        <w:jc w:val="both"/>
      </w:pPr>
      <w:r>
        <w:rPr>
          <w:rFonts w:ascii="Noto Sans Arabic" w:hAnsi="Noto Sans Arabic" w:eastAsia="Noto Sans Arabic" w:cs="Noto Sans Arabic"/>
          <w:b w:val="0"/>
          <w:color w:val="1F2937"/>
          <w:sz w:val="21"/>
        </w:rPr>
        <w:t>لكن الأولوية لا تعتمد على حجم الفجوة فقط.</w:t>
      </w:r>
    </w:p>
    <w:p>
      <w:pPr>
        <w:pStyle w:val="CodeBlock"/>
        <w:spacing w:after="120"/>
        <w:ind w:left="259" w:right="259"/>
        <w:jc w:val="left"/>
        <w:shd w:fill="F2F5F7"/>
      </w:pPr>
      <w:r>
        <w:rPr>
          <w:rFonts w:ascii="DejaVu Sans" w:hAnsi="DejaVu Sans" w:eastAsia="DejaVu Sans" w:cs="DejaVu Sans"/>
          <w:b w:val="0"/>
          <w:color w:val="1F2937"/>
          <w:sz w:val="17"/>
        </w:rPr>
        <w:t>Priority Score = Gap × Importance × Dependency × Business Impact × Confidence</w:t>
      </w:r>
    </w:p>
    <w:p>
      <w:pPr>
        <w:bidi w:val="1"/>
        <w:spacing w:after="100" w:before="0" w:line="288" w:lineRule="auto"/>
        <w:jc w:val="both"/>
      </w:pPr>
      <w:r>
        <w:rPr>
          <w:rFonts w:ascii="Noto Sans Arabic" w:hAnsi="Noto Sans Arabic" w:eastAsia="Noto Sans Arabic" w:cs="Noto Sans Arabic"/>
          <w:b w:val="0"/>
          <w:color w:val="1F2937"/>
          <w:sz w:val="21"/>
        </w:rPr>
        <w:t>يجب أن تكون معاملات الأهمية والاعتمادية والأثر والثقة Configurable أو مشتقة من قواعد واضحة موثقة.</w:t>
      </w:r>
    </w:p>
    <w:p>
      <w:pPr>
        <w:pStyle w:val="Heading1"/>
        <w:bidi w:val="1"/>
        <w:spacing w:before="160" w:after="160"/>
        <w:jc w:val="right"/>
      </w:pPr>
      <w:r>
        <w:rPr>
          <w:rFonts w:ascii="Noto Sans Arabic" w:hAnsi="Noto Sans Arabic" w:eastAsia="Noto Sans Arabic" w:cs="Noto Sans Arabic"/>
        </w:rPr>
        <w:t>15. Recommendations Engine</w:t>
      </w:r>
    </w:p>
    <w:p>
      <w:pPr>
        <w:bidi w:val="1"/>
        <w:spacing w:after="100" w:before="0" w:line="288" w:lineRule="auto"/>
        <w:jc w:val="both"/>
      </w:pPr>
      <w:r>
        <w:rPr>
          <w:rFonts w:ascii="Noto Sans Arabic" w:hAnsi="Noto Sans Arabic" w:eastAsia="Noto Sans Arabic" w:cs="Noto Sans Arabic"/>
          <w:b w:val="0"/>
          <w:color w:val="1F2937"/>
          <w:sz w:val="21"/>
        </w:rPr>
        <w:t>كل Diagnosis يرتبط بتوصيات مخزنة في قاعدة البيانات، ولا تُكتب التوصيات النهائية كنصوص متناثرة داخل الواجهة.</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الحقل</w:t>
            </w:r>
          </w:p>
        </w:tc>
        <w:tc>
          <w:tcPr>
            <w:tcW w:type="dxa" w:w="7056"/>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الوصف</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id</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معرف التوصية</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dimension</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البعد المرتبط</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problem</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المشكلة</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action</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الإجراء</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why_it_matters</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لماذا يهم</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owner</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المالك المقترح</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impact</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الأثر</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effort</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الجهد</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time_horizon</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الفترة الزمنية</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KPI</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مؤشر الأداء</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evidence_source</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المرجع/الدليل</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version</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إصدار التوصية</w:t>
            </w:r>
          </w:p>
        </w:tc>
      </w:tr>
    </w:tbl>
    <w:p>
      <w:pPr>
        <w:spacing w:after="40"/>
      </w:pPr>
    </w:p>
    <w:p>
      <w:pPr>
        <w:pStyle w:val="Heading1"/>
        <w:bidi w:val="1"/>
        <w:spacing w:before="160" w:after="160"/>
        <w:jc w:val="right"/>
      </w:pPr>
      <w:r>
        <w:rPr>
          <w:rFonts w:ascii="Noto Sans Arabic" w:hAnsi="Noto Sans Arabic" w:eastAsia="Noto Sans Arabic" w:cs="Noto Sans Arabic"/>
        </w:rPr>
        <w:t>16. خارطة التحسين</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المرحلة</w:t>
            </w:r>
          </w:p>
        </w:tc>
        <w:tc>
          <w:tcPr>
            <w:tcW w:type="dxa" w:w="7056"/>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الغرض</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0–30 يومًا</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Quick Wins — معالجة الفجوات الحرجة وسريعة التنفيذ.</w:t>
            </w:r>
          </w:p>
        </w:tc>
      </w:tr>
      <w:tr>
        <w:trPr>
          <w:cantSplit/>
        </w:trPr>
        <w:tc>
          <w:tcPr>
            <w:tcW w:type="dxa" w:w="259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31–90 يومًا</w:t>
            </w:r>
          </w:p>
        </w:tc>
        <w:tc>
          <w:tcPr>
            <w:tcW w:type="dxa" w:w="705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Capability Building — بناء عمليات وقدرات وأدوار.</w:t>
            </w:r>
          </w:p>
        </w:tc>
      </w:tr>
      <w:tr>
        <w:trPr>
          <w:cantSplit/>
        </w:trPr>
        <w:tc>
          <w:tcPr>
            <w:tcW w:type="dxa" w:w="259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3–6 أشهر</w:t>
            </w:r>
          </w:p>
        </w:tc>
        <w:tc>
          <w:tcPr>
            <w:tcW w:type="dxa" w:w="705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Institutionalisation — مأسسة المعرفة والأتمتة والتوسع.</w:t>
            </w:r>
          </w:p>
        </w:tc>
      </w:tr>
    </w:tbl>
    <w:p>
      <w:pPr>
        <w:spacing w:after="40"/>
      </w:pPr>
    </w:p>
    <w:p>
      <w:pPr>
        <w:bidi w:val="1"/>
        <w:spacing w:after="100" w:before="0" w:line="288" w:lineRule="auto"/>
        <w:jc w:val="both"/>
      </w:pPr>
      <w:r>
        <w:rPr>
          <w:rFonts w:ascii="Noto Sans Arabic" w:hAnsi="Noto Sans Arabic" w:eastAsia="Noto Sans Arabic" w:cs="Noto Sans Arabic"/>
          <w:b w:val="0"/>
          <w:color w:val="1F2937"/>
          <w:sz w:val="21"/>
        </w:rPr>
        <w:t>كل توصية في الخارطة تحتوي: What, Why, How, Owner, Priority, Expected Impact, KPI, Target Date.</w:t>
      </w:r>
    </w:p>
    <w:p>
      <w:pPr>
        <w:pStyle w:val="Heading2"/>
        <w:bidi w:val="1"/>
        <w:spacing w:before="160" w:after="100"/>
        <w:jc w:val="right"/>
      </w:pPr>
      <w:r>
        <w:rPr>
          <w:rFonts w:ascii="Noto Sans Arabic" w:hAnsi="Noto Sans Arabic" w:eastAsia="Noto Sans Arabic" w:cs="Noto Sans Arabic"/>
        </w:rPr>
        <w:t>16.1 مثال</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العنصر</w:t>
            </w:r>
          </w:p>
        </w:tc>
        <w:tc>
          <w:tcPr>
            <w:tcW w:type="dxa" w:w="7488"/>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المحتوى</w:t>
            </w:r>
          </w:p>
        </w:tc>
      </w:tr>
      <w:tr>
        <w:trPr>
          <w:cantSplit/>
        </w:trPr>
        <w:tc>
          <w:tcPr>
            <w:tcW w:type="dxa" w:w="216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المشكلة</w:t>
            </w:r>
          </w:p>
        </w:tc>
        <w:tc>
          <w:tcPr>
            <w:tcW w:type="dxa" w:w="748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تعدد مصادر الحقيقة.</w:t>
            </w:r>
          </w:p>
        </w:tc>
      </w:tr>
      <w:tr>
        <w:trPr>
          <w:cantSplit/>
        </w:trPr>
        <w:tc>
          <w:tcPr>
            <w:tcW w:type="dxa" w:w="216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الإجراء</w:t>
            </w:r>
          </w:p>
        </w:tc>
        <w:tc>
          <w:tcPr>
            <w:tcW w:type="dxa" w:w="7488"/>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إنشاء Communication Single Source of Truth.</w:t>
            </w:r>
          </w:p>
        </w:tc>
      </w:tr>
      <w:tr>
        <w:trPr>
          <w:cantSplit/>
        </w:trPr>
        <w:tc>
          <w:tcPr>
            <w:tcW w:type="dxa" w:w="216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المالك</w:t>
            </w:r>
          </w:p>
        </w:tc>
        <w:tc>
          <w:tcPr>
            <w:tcW w:type="dxa" w:w="748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Marketing + Product + Operations.</w:t>
            </w:r>
          </w:p>
        </w:tc>
      </w:tr>
      <w:tr>
        <w:trPr>
          <w:cantSplit/>
        </w:trPr>
        <w:tc>
          <w:tcPr>
            <w:tcW w:type="dxa" w:w="216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KPI</w:t>
            </w:r>
          </w:p>
        </w:tc>
        <w:tc>
          <w:tcPr>
            <w:tcW w:type="dxa" w:w="7488"/>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 of approved communication assets linked to current source.</w:t>
            </w:r>
          </w:p>
        </w:tc>
      </w:tr>
      <w:tr>
        <w:trPr>
          <w:cantSplit/>
        </w:trPr>
        <w:tc>
          <w:tcPr>
            <w:tcW w:type="dxa" w:w="216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الفترة</w:t>
            </w:r>
          </w:p>
        </w:tc>
        <w:tc>
          <w:tcPr>
            <w:tcW w:type="dxa" w:w="7488"/>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0–30 يومًا.</w:t>
            </w:r>
          </w:p>
        </w:tc>
      </w:tr>
    </w:tbl>
    <w:p>
      <w:pPr>
        <w:spacing w:after="40"/>
      </w:pPr>
    </w:p>
    <w:p>
      <w:pPr>
        <w:pStyle w:val="Heading1"/>
        <w:bidi w:val="1"/>
        <w:spacing w:before="160" w:after="160"/>
        <w:jc w:val="right"/>
      </w:pPr>
      <w:r>
        <w:rPr>
          <w:rFonts w:ascii="Noto Sans Arabic" w:hAnsi="Noto Sans Arabic" w:eastAsia="Noto Sans Arabic" w:cs="Noto Sans Arabic"/>
        </w:rPr>
        <w:t>17. Advanced Insights بين MCM وSMCE</w:t>
      </w:r>
    </w:p>
    <w:p>
      <w:pPr>
        <w:pStyle w:val="Heading2"/>
        <w:bidi w:val="1"/>
        <w:spacing w:before="160" w:after="100"/>
        <w:jc w:val="right"/>
      </w:pPr>
      <w:r>
        <w:rPr>
          <w:rFonts w:ascii="Noto Sans Arabic" w:hAnsi="Noto Sans Arabic" w:eastAsia="Noto Sans Arabic" w:cs="Noto Sans Arabic"/>
        </w:rPr>
        <w:t>17.1 MCM مرتفع وSMCE منخفض</w:t>
      </w:r>
    </w:p>
    <w:p>
      <w:pPr>
        <w:bidi w:val="1"/>
        <w:spacing w:after="100" w:before="0" w:line="288" w:lineRule="auto"/>
        <w:jc w:val="both"/>
      </w:pPr>
      <w:r>
        <w:rPr>
          <w:rFonts w:ascii="Noto Sans Arabic" w:hAnsi="Noto Sans Arabic" w:eastAsia="Noto Sans Arabic" w:cs="Noto Sans Arabic"/>
          <w:b w:val="0"/>
          <w:color w:val="1F2937"/>
          <w:sz w:val="21"/>
        </w:rPr>
        <w:t>التفسير: توجد قدرات تنظيمية جيدة لكنها لم تتحول بعد إلى نتائج اتصالية بنفس المستوى.</w:t>
      </w:r>
    </w:p>
    <w:p>
      <w:pPr>
        <w:pStyle w:val="Heading2"/>
        <w:bidi w:val="1"/>
        <w:spacing w:before="160" w:after="100"/>
        <w:jc w:val="right"/>
      </w:pPr>
      <w:r>
        <w:rPr>
          <w:rFonts w:ascii="Noto Sans Arabic" w:hAnsi="Noto Sans Arabic" w:eastAsia="Noto Sans Arabic" w:cs="Noto Sans Arabic"/>
        </w:rPr>
        <w:t>17.2 MCM منخفض وSMCE مرتفع</w:t>
      </w:r>
    </w:p>
    <w:p>
      <w:pPr>
        <w:bidi w:val="1"/>
        <w:spacing w:after="100" w:before="0" w:line="288" w:lineRule="auto"/>
        <w:jc w:val="both"/>
      </w:pPr>
      <w:r>
        <w:rPr>
          <w:rFonts w:ascii="Noto Sans Arabic" w:hAnsi="Noto Sans Arabic" w:eastAsia="Noto Sans Arabic" w:cs="Noto Sans Arabic"/>
          <w:b w:val="0"/>
          <w:color w:val="1F2937"/>
          <w:sz w:val="21"/>
        </w:rPr>
        <w:t>التفسير: النتائج الحالية جيدة، لكنها قد تعتمد على خبرة أشخاص أو ظروف مؤقتة أكثر من اعتمادها على قدرة مؤسسية مستقرة.</w:t>
      </w:r>
    </w:p>
    <w:p>
      <w:pPr>
        <w:pStyle w:val="Heading1"/>
        <w:bidi w:val="1"/>
        <w:spacing w:before="160" w:after="160"/>
        <w:jc w:val="right"/>
      </w:pPr>
      <w:r>
        <w:rPr>
          <w:rFonts w:ascii="Noto Sans Arabic" w:hAnsi="Noto Sans Arabic" w:eastAsia="Noto Sans Arabic" w:cs="Noto Sans Arabic"/>
        </w:rPr>
        <w:t>18. Benchmarking</w:t>
      </w:r>
    </w:p>
    <w:p>
      <w:pPr>
        <w:bidi w:val="1"/>
        <w:spacing w:after="40" w:before="0" w:line="276" w:lineRule="auto"/>
        <w:ind w:right="0"/>
        <w:jc w:val="right"/>
      </w:pPr>
      <w:r>
        <w:rPr>
          <w:rFonts w:ascii="Noto Sans Arabic" w:hAnsi="Noto Sans Arabic" w:eastAsia="Noto Sans Arabic" w:cs="Noto Sans Arabic"/>
          <w:b w:val="0"/>
          <w:color w:val="1F2937"/>
          <w:sz w:val="20"/>
        </w:rPr>
        <w:t>• Company vs Sector Average</w:t>
      </w:r>
    </w:p>
    <w:p>
      <w:pPr>
        <w:bidi w:val="1"/>
        <w:spacing w:after="40" w:before="0" w:line="276" w:lineRule="auto"/>
        <w:ind w:right="0"/>
        <w:jc w:val="right"/>
      </w:pPr>
      <w:r>
        <w:rPr>
          <w:rFonts w:ascii="Noto Sans Arabic" w:hAnsi="Noto Sans Arabic" w:eastAsia="Noto Sans Arabic" w:cs="Noto Sans Arabic"/>
          <w:b w:val="0"/>
          <w:color w:val="1F2937"/>
          <w:sz w:val="20"/>
        </w:rPr>
        <w:t>• Company vs Similar Size Companies</w:t>
      </w:r>
    </w:p>
    <w:p>
      <w:pPr>
        <w:bidi w:val="1"/>
        <w:spacing w:after="40" w:before="0" w:line="276" w:lineRule="auto"/>
        <w:ind w:right="0"/>
        <w:jc w:val="right"/>
      </w:pPr>
      <w:r>
        <w:rPr>
          <w:rFonts w:ascii="Noto Sans Arabic" w:hAnsi="Noto Sans Arabic" w:eastAsia="Noto Sans Arabic" w:cs="Noto Sans Arabic"/>
          <w:b w:val="0"/>
          <w:color w:val="1F2937"/>
          <w:sz w:val="20"/>
        </w:rPr>
        <w:t>• Company vs Overall Dataset</w:t>
      </w:r>
    </w:p>
    <w:p>
      <w:pPr>
        <w:bidi w:val="1"/>
        <w:spacing w:after="40" w:before="0" w:line="276" w:lineRule="auto"/>
        <w:ind w:right="0"/>
        <w:jc w:val="right"/>
      </w:pPr>
      <w:r>
        <w:rPr>
          <w:rFonts w:ascii="Noto Sans Arabic" w:hAnsi="Noto Sans Arabic" w:eastAsia="Noto Sans Arabic" w:cs="Noto Sans Arabic"/>
          <w:b w:val="0"/>
          <w:color w:val="1F2937"/>
          <w:sz w:val="20"/>
        </w:rPr>
        <w:t>• Company vs Top Quartile</w:t>
      </w:r>
    </w:p>
    <w:p>
      <w:pPr>
        <w:pStyle w:val="CodeBlock"/>
        <w:spacing w:after="120"/>
        <w:ind w:left="259" w:right="259"/>
        <w:jc w:val="left"/>
        <w:shd w:fill="F2F5F7"/>
      </w:pPr>
      <w:r>
        <w:rPr>
          <w:rFonts w:ascii="DejaVu Sans" w:hAnsi="DejaVu Sans" w:eastAsia="DejaVu Sans" w:cs="DejaVu Sans"/>
          <w:b w:val="0"/>
          <w:color w:val="1F2937"/>
          <w:sz w:val="17"/>
        </w:rPr>
        <w:t>Example:</w:t>
        <w:br/>
        <w:t>Your MCM        72</w:t>
        <w:br/>
        <w:t>Sector Average  61</w:t>
        <w:br/>
        <w:t>Top Quartile    79</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قاعدة خصوصية وإحصاء</w:t>
              <w:br/>
            </w:r>
            <w:r>
              <w:rPr>
                <w:rFonts w:ascii="Noto Sans Arabic" w:hAnsi="Noto Sans Arabic" w:eastAsia="Noto Sans Arabic" w:cs="Noto Sans Arabic"/>
                <w:b w:val="0"/>
                <w:color w:val="1F2937"/>
                <w:sz w:val="19"/>
              </w:rPr>
              <w:t>لا يظهر Benchmark إذا كان عدد الحالات في المجموعة أقل من حد أدنى Configurable، مثل MIN_BENCHMARK_SAMPLE = 10.</w:t>
            </w:r>
          </w:p>
        </w:tc>
      </w:tr>
    </w:tbl>
    <w:p>
      <w:pPr>
        <w:pStyle w:val="Heading1"/>
        <w:bidi w:val="1"/>
        <w:spacing w:before="160" w:after="160"/>
        <w:jc w:val="right"/>
      </w:pPr>
      <w:r>
        <w:rPr>
          <w:rFonts w:ascii="Noto Sans Arabic" w:hAnsi="Noto Sans Arabic" w:eastAsia="Noto Sans Arabic" w:cs="Noto Sans Arabic"/>
        </w:rPr>
        <w:t>19. Reassessment &amp; Maturity Journey</w:t>
      </w:r>
    </w:p>
    <w:p>
      <w:pPr>
        <w:bidi w:val="1"/>
        <w:spacing w:after="100" w:before="0" w:line="288" w:lineRule="auto"/>
        <w:jc w:val="both"/>
      </w:pPr>
      <w:r>
        <w:rPr>
          <w:rFonts w:ascii="Noto Sans Arabic" w:hAnsi="Noto Sans Arabic" w:eastAsia="Noto Sans Arabic" w:cs="Noto Sans Arabic"/>
          <w:b w:val="0"/>
          <w:color w:val="1F2937"/>
          <w:sz w:val="21"/>
        </w:rPr>
        <w:t>تدعم المنصة تقييمات متكررة للشركة مع مقارنة زمنية للدرجة الكلية، الأبعاد السبعة، SMCE، ومستوى النضج.</w:t>
      </w:r>
    </w:p>
    <w:p>
      <w:pPr>
        <w:pStyle w:val="CodeBlock"/>
        <w:spacing w:after="120"/>
        <w:ind w:left="259" w:right="259"/>
        <w:jc w:val="left"/>
        <w:shd w:fill="F2F5F7"/>
      </w:pPr>
      <w:r>
        <w:rPr>
          <w:rFonts w:ascii="DejaVu Sans" w:hAnsi="DejaVu Sans" w:eastAsia="DejaVu Sans" w:cs="DejaVu Sans"/>
          <w:b w:val="0"/>
          <w:color w:val="1F2937"/>
          <w:sz w:val="17"/>
        </w:rPr>
        <w:t>Assessment 1 — Jan 2027</w:t>
        <w:br/>
        <w:t>Assessment 2 — Jul 2027</w:t>
        <w:br/>
        <w:t>Assessment 3 — Jan 2028</w:t>
        <w:br/>
        <w:br/>
        <w:t>MCM: 61 → 72 → 81</w:t>
      </w:r>
    </w:p>
    <w:p>
      <w:pPr>
        <w:pStyle w:val="Heading1"/>
        <w:bidi w:val="1"/>
        <w:spacing w:before="160" w:after="160"/>
        <w:jc w:val="right"/>
      </w:pPr>
      <w:r>
        <w:rPr>
          <w:rFonts w:ascii="Noto Sans Arabic" w:hAnsi="Noto Sans Arabic" w:eastAsia="Noto Sans Arabic" w:cs="Noto Sans Arabic"/>
        </w:rPr>
        <w:t>20. Executive PDF Report</w:t>
      </w:r>
    </w:p>
    <w:p>
      <w:pPr>
        <w:bidi w:val="1"/>
        <w:spacing w:after="40" w:before="0" w:line="276" w:lineRule="auto"/>
        <w:ind w:right="0"/>
        <w:jc w:val="right"/>
      </w:pPr>
      <w:r>
        <w:rPr>
          <w:rFonts w:ascii="Noto Sans Arabic" w:hAnsi="Noto Sans Arabic" w:eastAsia="Noto Sans Arabic" w:cs="Noto Sans Arabic"/>
          <w:b w:val="0"/>
          <w:color w:val="1F2937"/>
          <w:sz w:val="20"/>
        </w:rPr>
        <w:t>• 1. Cover</w:t>
      </w:r>
    </w:p>
    <w:p>
      <w:pPr>
        <w:bidi w:val="1"/>
        <w:spacing w:after="40" w:before="0" w:line="276" w:lineRule="auto"/>
        <w:ind w:right="0"/>
        <w:jc w:val="right"/>
      </w:pPr>
      <w:r>
        <w:rPr>
          <w:rFonts w:ascii="Noto Sans Arabic" w:hAnsi="Noto Sans Arabic" w:eastAsia="Noto Sans Arabic" w:cs="Noto Sans Arabic"/>
          <w:b w:val="0"/>
          <w:color w:val="1F2937"/>
          <w:sz w:val="20"/>
        </w:rPr>
        <w:t>• 2. Executive Summary</w:t>
      </w:r>
    </w:p>
    <w:p>
      <w:pPr>
        <w:bidi w:val="1"/>
        <w:spacing w:after="40" w:before="0" w:line="276" w:lineRule="auto"/>
        <w:ind w:right="0"/>
        <w:jc w:val="right"/>
      </w:pPr>
      <w:r>
        <w:rPr>
          <w:rFonts w:ascii="Noto Sans Arabic" w:hAnsi="Noto Sans Arabic" w:eastAsia="Noto Sans Arabic" w:cs="Noto Sans Arabic"/>
          <w:b w:val="0"/>
          <w:color w:val="1F2937"/>
          <w:sz w:val="20"/>
        </w:rPr>
        <w:t>• 3. Overall MCM</w:t>
      </w:r>
    </w:p>
    <w:p>
      <w:pPr>
        <w:bidi w:val="1"/>
        <w:spacing w:after="40" w:before="0" w:line="276" w:lineRule="auto"/>
        <w:ind w:right="0"/>
        <w:jc w:val="right"/>
      </w:pPr>
      <w:r>
        <w:rPr>
          <w:rFonts w:ascii="Noto Sans Arabic" w:hAnsi="Noto Sans Arabic" w:eastAsia="Noto Sans Arabic" w:cs="Noto Sans Arabic"/>
          <w:b w:val="0"/>
          <w:color w:val="1F2937"/>
          <w:sz w:val="20"/>
        </w:rPr>
        <w:t>• 4. Maturity Level</w:t>
      </w:r>
    </w:p>
    <w:p>
      <w:pPr>
        <w:bidi w:val="1"/>
        <w:spacing w:after="40" w:before="0" w:line="276" w:lineRule="auto"/>
        <w:ind w:right="0"/>
        <w:jc w:val="right"/>
      </w:pPr>
      <w:r>
        <w:rPr>
          <w:rFonts w:ascii="Noto Sans Arabic" w:hAnsi="Noto Sans Arabic" w:eastAsia="Noto Sans Arabic" w:cs="Noto Sans Arabic"/>
          <w:b w:val="0"/>
          <w:color w:val="1F2937"/>
          <w:sz w:val="20"/>
        </w:rPr>
        <w:t>• 5. Seven MCM Dimensions</w:t>
      </w:r>
    </w:p>
    <w:p>
      <w:pPr>
        <w:bidi w:val="1"/>
        <w:spacing w:after="40" w:before="0" w:line="276" w:lineRule="auto"/>
        <w:ind w:right="0"/>
        <w:jc w:val="right"/>
      </w:pPr>
      <w:r>
        <w:rPr>
          <w:rFonts w:ascii="Noto Sans Arabic" w:hAnsi="Noto Sans Arabic" w:eastAsia="Noto Sans Arabic" w:cs="Noto Sans Arabic"/>
          <w:b w:val="0"/>
          <w:color w:val="1F2937"/>
          <w:sz w:val="20"/>
        </w:rPr>
        <w:t>• 6. Strengths</w:t>
      </w:r>
    </w:p>
    <w:p>
      <w:pPr>
        <w:bidi w:val="1"/>
        <w:spacing w:after="40" w:before="0" w:line="276" w:lineRule="auto"/>
        <w:ind w:right="0"/>
        <w:jc w:val="right"/>
      </w:pPr>
      <w:r>
        <w:rPr>
          <w:rFonts w:ascii="Noto Sans Arabic" w:hAnsi="Noto Sans Arabic" w:eastAsia="Noto Sans Arabic" w:cs="Noto Sans Arabic"/>
          <w:b w:val="0"/>
          <w:color w:val="1F2937"/>
          <w:sz w:val="20"/>
        </w:rPr>
        <w:t>• 7. Gaps</w:t>
      </w:r>
    </w:p>
    <w:p>
      <w:pPr>
        <w:bidi w:val="1"/>
        <w:spacing w:after="40" w:before="0" w:line="276" w:lineRule="auto"/>
        <w:ind w:right="0"/>
        <w:jc w:val="right"/>
      </w:pPr>
      <w:r>
        <w:rPr>
          <w:rFonts w:ascii="Noto Sans Arabic" w:hAnsi="Noto Sans Arabic" w:eastAsia="Noto Sans Arabic" w:cs="Noto Sans Arabic"/>
          <w:b w:val="0"/>
          <w:color w:val="1F2937"/>
          <w:sz w:val="20"/>
        </w:rPr>
        <w:t>• 8. Deep Diagnosis</w:t>
      </w:r>
    </w:p>
    <w:p>
      <w:pPr>
        <w:bidi w:val="1"/>
        <w:spacing w:after="40" w:before="0" w:line="276" w:lineRule="auto"/>
        <w:ind w:right="0"/>
        <w:jc w:val="right"/>
      </w:pPr>
      <w:r>
        <w:rPr>
          <w:rFonts w:ascii="Noto Sans Arabic" w:hAnsi="Noto Sans Arabic" w:eastAsia="Noto Sans Arabic" w:cs="Noto Sans Arabic"/>
          <w:b w:val="0"/>
          <w:color w:val="1F2937"/>
          <w:sz w:val="20"/>
        </w:rPr>
        <w:t>• 9. SMCE</w:t>
      </w:r>
    </w:p>
    <w:p>
      <w:pPr>
        <w:bidi w:val="1"/>
        <w:spacing w:after="40" w:before="0" w:line="276" w:lineRule="auto"/>
        <w:ind w:right="0"/>
        <w:jc w:val="right"/>
      </w:pPr>
      <w:r>
        <w:rPr>
          <w:rFonts w:ascii="Noto Sans Arabic" w:hAnsi="Noto Sans Arabic" w:eastAsia="Noto Sans Arabic" w:cs="Noto Sans Arabic"/>
          <w:b w:val="0"/>
          <w:color w:val="1F2937"/>
          <w:sz w:val="20"/>
        </w:rPr>
        <w:t>• 10. Benchmark</w:t>
      </w:r>
    </w:p>
    <w:p>
      <w:pPr>
        <w:bidi w:val="1"/>
        <w:spacing w:after="40" w:before="0" w:line="276" w:lineRule="auto"/>
        <w:ind w:right="0"/>
        <w:jc w:val="right"/>
      </w:pPr>
      <w:r>
        <w:rPr>
          <w:rFonts w:ascii="Noto Sans Arabic" w:hAnsi="Noto Sans Arabic" w:eastAsia="Noto Sans Arabic" w:cs="Noto Sans Arabic"/>
          <w:b w:val="0"/>
          <w:color w:val="1F2937"/>
          <w:sz w:val="20"/>
        </w:rPr>
        <w:t>• 11. Recommendations</w:t>
      </w:r>
    </w:p>
    <w:p>
      <w:pPr>
        <w:bidi w:val="1"/>
        <w:spacing w:after="40" w:before="0" w:line="276" w:lineRule="auto"/>
        <w:ind w:right="0"/>
        <w:jc w:val="right"/>
      </w:pPr>
      <w:r>
        <w:rPr>
          <w:rFonts w:ascii="Noto Sans Arabic" w:hAnsi="Noto Sans Arabic" w:eastAsia="Noto Sans Arabic" w:cs="Noto Sans Arabic"/>
          <w:b w:val="0"/>
          <w:color w:val="1F2937"/>
          <w:sz w:val="20"/>
        </w:rPr>
        <w:t>• 12. 30/90/180 Roadmap</w:t>
      </w:r>
    </w:p>
    <w:p>
      <w:pPr>
        <w:bidi w:val="1"/>
        <w:spacing w:after="40" w:before="0" w:line="276" w:lineRule="auto"/>
        <w:ind w:right="0"/>
        <w:jc w:val="right"/>
      </w:pPr>
      <w:r>
        <w:rPr>
          <w:rFonts w:ascii="Noto Sans Arabic" w:hAnsi="Noto Sans Arabic" w:eastAsia="Noto Sans Arabic" w:cs="Noto Sans Arabic"/>
          <w:b w:val="0"/>
          <w:color w:val="1F2937"/>
          <w:sz w:val="20"/>
        </w:rPr>
        <w:t>• 13. Methodological Note</w:t>
      </w:r>
    </w:p>
    <w:p>
      <w:pPr>
        <w:pStyle w:val="Heading1"/>
        <w:bidi w:val="1"/>
        <w:spacing w:before="160" w:after="160"/>
        <w:jc w:val="right"/>
      </w:pPr>
      <w:r>
        <w:rPr>
          <w:rFonts w:ascii="Noto Sans Arabic" w:hAnsi="Noto Sans Arabic" w:eastAsia="Noto Sans Arabic" w:cs="Noto Sans Arabic"/>
        </w:rPr>
        <w:t>21. Researcher Console</w:t>
      </w:r>
    </w:p>
    <w:p>
      <w:pPr>
        <w:bidi w:val="1"/>
        <w:spacing w:after="100" w:before="0" w:line="288" w:lineRule="auto"/>
        <w:jc w:val="both"/>
      </w:pPr>
      <w:r>
        <w:rPr>
          <w:rFonts w:ascii="Noto Sans Arabic" w:hAnsi="Noto Sans Arabic" w:eastAsia="Noto Sans Arabic" w:cs="Noto Sans Arabic"/>
          <w:b w:val="0"/>
          <w:color w:val="1F2937"/>
          <w:sz w:val="21"/>
        </w:rPr>
        <w:t>لوحة الباحث منفصلة وظيفيًا وأمنيًا عن Company Dashboard.</w:t>
      </w:r>
    </w:p>
    <w:p>
      <w:pPr>
        <w:pStyle w:val="Heading2"/>
        <w:bidi w:val="1"/>
        <w:spacing w:before="160" w:after="100"/>
        <w:jc w:val="right"/>
      </w:pPr>
      <w:r>
        <w:rPr>
          <w:rFonts w:ascii="Noto Sans Arabic" w:hAnsi="Noto Sans Arabic" w:eastAsia="Noto Sans Arabic" w:cs="Noto Sans Arabic"/>
        </w:rPr>
        <w:t>21.1 الأقسام</w:t>
      </w:r>
    </w:p>
    <w:p>
      <w:pPr>
        <w:bidi w:val="1"/>
        <w:spacing w:after="40" w:before="0" w:line="276" w:lineRule="auto"/>
        <w:ind w:right="0"/>
        <w:jc w:val="right"/>
      </w:pPr>
      <w:r>
        <w:rPr>
          <w:rFonts w:ascii="Noto Sans Arabic" w:hAnsi="Noto Sans Arabic" w:eastAsia="Noto Sans Arabic" w:cs="Noto Sans Arabic"/>
          <w:b w:val="0"/>
          <w:color w:val="1F2937"/>
          <w:sz w:val="20"/>
        </w:rPr>
        <w:t>• Sample Overview</w:t>
      </w:r>
    </w:p>
    <w:p>
      <w:pPr>
        <w:bidi w:val="1"/>
        <w:spacing w:after="40" w:before="0" w:line="276" w:lineRule="auto"/>
        <w:ind w:right="0"/>
        <w:jc w:val="right"/>
      </w:pPr>
      <w:r>
        <w:rPr>
          <w:rFonts w:ascii="Noto Sans Arabic" w:hAnsi="Noto Sans Arabic" w:eastAsia="Noto Sans Arabic" w:cs="Noto Sans Arabic"/>
          <w:b w:val="0"/>
          <w:color w:val="1F2937"/>
          <w:sz w:val="20"/>
        </w:rPr>
        <w:t>• Dataset Explorer</w:t>
      </w:r>
    </w:p>
    <w:p>
      <w:pPr>
        <w:bidi w:val="1"/>
        <w:spacing w:after="40" w:before="0" w:line="276" w:lineRule="auto"/>
        <w:ind w:right="0"/>
        <w:jc w:val="right"/>
      </w:pPr>
      <w:r>
        <w:rPr>
          <w:rFonts w:ascii="Noto Sans Arabic" w:hAnsi="Noto Sans Arabic" w:eastAsia="Noto Sans Arabic" w:cs="Noto Sans Arabic"/>
          <w:b w:val="0"/>
          <w:color w:val="1F2937"/>
          <w:sz w:val="20"/>
        </w:rPr>
        <w:t>• Participants</w:t>
      </w:r>
    </w:p>
    <w:p>
      <w:pPr>
        <w:bidi w:val="1"/>
        <w:spacing w:after="40" w:before="0" w:line="276" w:lineRule="auto"/>
        <w:ind w:right="0"/>
        <w:jc w:val="right"/>
      </w:pPr>
      <w:r>
        <w:rPr>
          <w:rFonts w:ascii="Noto Sans Arabic" w:hAnsi="Noto Sans Arabic" w:eastAsia="Noto Sans Arabic" w:cs="Noto Sans Arabic"/>
          <w:b w:val="0"/>
          <w:color w:val="1F2937"/>
          <w:sz w:val="20"/>
        </w:rPr>
        <w:t>• Instrument Management</w:t>
      </w:r>
    </w:p>
    <w:p>
      <w:pPr>
        <w:bidi w:val="1"/>
        <w:spacing w:after="40" w:before="0" w:line="276" w:lineRule="auto"/>
        <w:ind w:right="0"/>
        <w:jc w:val="right"/>
      </w:pPr>
      <w:r>
        <w:rPr>
          <w:rFonts w:ascii="Noto Sans Arabic" w:hAnsi="Noto Sans Arabic" w:eastAsia="Noto Sans Arabic" w:cs="Noto Sans Arabic"/>
          <w:b w:val="0"/>
          <w:color w:val="1F2937"/>
          <w:sz w:val="20"/>
        </w:rPr>
        <w:t>• Data Quality</w:t>
      </w:r>
    </w:p>
    <w:p>
      <w:pPr>
        <w:bidi w:val="1"/>
        <w:spacing w:after="40" w:before="0" w:line="276" w:lineRule="auto"/>
        <w:ind w:right="0"/>
        <w:jc w:val="right"/>
      </w:pPr>
      <w:r>
        <w:rPr>
          <w:rFonts w:ascii="Noto Sans Arabic" w:hAnsi="Noto Sans Arabic" w:eastAsia="Noto Sans Arabic" w:cs="Noto Sans Arabic"/>
          <w:b w:val="0"/>
          <w:color w:val="1F2937"/>
          <w:sz w:val="20"/>
        </w:rPr>
        <w:t>• Statistics</w:t>
      </w:r>
    </w:p>
    <w:p>
      <w:pPr>
        <w:bidi w:val="1"/>
        <w:spacing w:after="40" w:before="0" w:line="276" w:lineRule="auto"/>
        <w:ind w:right="0"/>
        <w:jc w:val="right"/>
      </w:pPr>
      <w:r>
        <w:rPr>
          <w:rFonts w:ascii="Noto Sans Arabic" w:hAnsi="Noto Sans Arabic" w:eastAsia="Noto Sans Arabic" w:cs="Noto Sans Arabic"/>
          <w:b w:val="0"/>
          <w:color w:val="1F2937"/>
          <w:sz w:val="20"/>
        </w:rPr>
        <w:t>• Benchmarks</w:t>
      </w:r>
    </w:p>
    <w:p>
      <w:pPr>
        <w:bidi w:val="1"/>
        <w:spacing w:after="40" w:before="0" w:line="276" w:lineRule="auto"/>
        <w:ind w:right="0"/>
        <w:jc w:val="right"/>
      </w:pPr>
      <w:r>
        <w:rPr>
          <w:rFonts w:ascii="Noto Sans Arabic" w:hAnsi="Noto Sans Arabic" w:eastAsia="Noto Sans Arabic" w:cs="Noto Sans Arabic"/>
          <w:b w:val="0"/>
          <w:color w:val="1F2937"/>
          <w:sz w:val="20"/>
        </w:rPr>
        <w:t>• Exports</w:t>
      </w:r>
    </w:p>
    <w:p>
      <w:pPr>
        <w:bidi w:val="1"/>
        <w:spacing w:after="40" w:before="0" w:line="276" w:lineRule="auto"/>
        <w:ind w:right="0"/>
        <w:jc w:val="right"/>
      </w:pPr>
      <w:r>
        <w:rPr>
          <w:rFonts w:ascii="Noto Sans Arabic" w:hAnsi="Noto Sans Arabic" w:eastAsia="Noto Sans Arabic" w:cs="Noto Sans Arabic"/>
          <w:b w:val="0"/>
          <w:color w:val="1F2937"/>
          <w:sz w:val="20"/>
        </w:rPr>
        <w:t>• Codebook</w:t>
      </w:r>
    </w:p>
    <w:p>
      <w:pPr>
        <w:bidi w:val="1"/>
        <w:spacing w:after="40" w:before="0" w:line="276" w:lineRule="auto"/>
        <w:ind w:right="0"/>
        <w:jc w:val="right"/>
      </w:pPr>
      <w:r>
        <w:rPr>
          <w:rFonts w:ascii="Noto Sans Arabic" w:hAnsi="Noto Sans Arabic" w:eastAsia="Noto Sans Arabic" w:cs="Noto Sans Arabic"/>
          <w:b w:val="0"/>
          <w:color w:val="1F2937"/>
          <w:sz w:val="20"/>
        </w:rPr>
        <w:t>• Audit Logs</w:t>
      </w:r>
    </w:p>
    <w:p>
      <w:pPr>
        <w:bidi w:val="1"/>
        <w:spacing w:after="40" w:before="0" w:line="276" w:lineRule="auto"/>
        <w:ind w:right="0"/>
        <w:jc w:val="right"/>
      </w:pPr>
      <w:r>
        <w:rPr>
          <w:rFonts w:ascii="Noto Sans Arabic" w:hAnsi="Noto Sans Arabic" w:eastAsia="Noto Sans Arabic" w:cs="Noto Sans Arabic"/>
          <w:b w:val="0"/>
          <w:color w:val="1F2937"/>
          <w:sz w:val="20"/>
        </w:rPr>
        <w:t>• Settings</w:t>
      </w:r>
    </w:p>
    <w:p>
      <w:pPr>
        <w:pStyle w:val="Heading2"/>
        <w:bidi w:val="1"/>
        <w:spacing w:before="160" w:after="100"/>
        <w:jc w:val="right"/>
      </w:pPr>
      <w:r>
        <w:rPr>
          <w:rFonts w:ascii="Noto Sans Arabic" w:hAnsi="Noto Sans Arabic" w:eastAsia="Noto Sans Arabic" w:cs="Noto Sans Arabic"/>
        </w:rPr>
        <w:t>21.2 مرشحات البيانات</w:t>
      </w:r>
    </w:p>
    <w:p>
      <w:pPr>
        <w:bidi w:val="1"/>
        <w:spacing w:after="40" w:before="0" w:line="276" w:lineRule="auto"/>
        <w:ind w:right="0"/>
        <w:jc w:val="right"/>
      </w:pPr>
      <w:r>
        <w:rPr>
          <w:rFonts w:ascii="Noto Sans Arabic" w:hAnsi="Noto Sans Arabic" w:eastAsia="Noto Sans Arabic" w:cs="Noto Sans Arabic"/>
          <w:b w:val="0"/>
          <w:color w:val="1F2937"/>
          <w:sz w:val="20"/>
        </w:rPr>
        <w:t>• Sector</w:t>
      </w:r>
    </w:p>
    <w:p>
      <w:pPr>
        <w:bidi w:val="1"/>
        <w:spacing w:after="40" w:before="0" w:line="276" w:lineRule="auto"/>
        <w:ind w:right="0"/>
        <w:jc w:val="right"/>
      </w:pPr>
      <w:r>
        <w:rPr>
          <w:rFonts w:ascii="Noto Sans Arabic" w:hAnsi="Noto Sans Arabic" w:eastAsia="Noto Sans Arabic" w:cs="Noto Sans Arabic"/>
          <w:b w:val="0"/>
          <w:color w:val="1F2937"/>
          <w:sz w:val="20"/>
        </w:rPr>
        <w:t>• Company Size</w:t>
      </w:r>
    </w:p>
    <w:p>
      <w:pPr>
        <w:bidi w:val="1"/>
        <w:spacing w:after="40" w:before="0" w:line="276" w:lineRule="auto"/>
        <w:ind w:right="0"/>
        <w:jc w:val="right"/>
      </w:pPr>
      <w:r>
        <w:rPr>
          <w:rFonts w:ascii="Noto Sans Arabic" w:hAnsi="Noto Sans Arabic" w:eastAsia="Noto Sans Arabic" w:cs="Noto Sans Arabic"/>
          <w:b w:val="0"/>
          <w:color w:val="1F2937"/>
          <w:sz w:val="20"/>
        </w:rPr>
        <w:t>• Date</w:t>
      </w:r>
    </w:p>
    <w:p>
      <w:pPr>
        <w:bidi w:val="1"/>
        <w:spacing w:after="40" w:before="0" w:line="276" w:lineRule="auto"/>
        <w:ind w:right="0"/>
        <w:jc w:val="right"/>
      </w:pPr>
      <w:r>
        <w:rPr>
          <w:rFonts w:ascii="Noto Sans Arabic" w:hAnsi="Noto Sans Arabic" w:eastAsia="Noto Sans Arabic" w:cs="Noto Sans Arabic"/>
          <w:b w:val="0"/>
          <w:color w:val="1F2937"/>
          <w:sz w:val="20"/>
        </w:rPr>
        <w:t>• Region</w:t>
      </w:r>
    </w:p>
    <w:p>
      <w:pPr>
        <w:bidi w:val="1"/>
        <w:spacing w:after="40" w:before="0" w:line="276" w:lineRule="auto"/>
        <w:ind w:right="0"/>
        <w:jc w:val="right"/>
      </w:pPr>
      <w:r>
        <w:rPr>
          <w:rFonts w:ascii="Noto Sans Arabic" w:hAnsi="Noto Sans Arabic" w:eastAsia="Noto Sans Arabic" w:cs="Noto Sans Arabic"/>
          <w:b w:val="0"/>
          <w:color w:val="1F2937"/>
          <w:sz w:val="20"/>
        </w:rPr>
        <w:t>• B2B/B2C</w:t>
      </w:r>
    </w:p>
    <w:p>
      <w:pPr>
        <w:bidi w:val="1"/>
        <w:spacing w:after="40" w:before="0" w:line="276" w:lineRule="auto"/>
        <w:ind w:right="0"/>
        <w:jc w:val="right"/>
      </w:pPr>
      <w:r>
        <w:rPr>
          <w:rFonts w:ascii="Noto Sans Arabic" w:hAnsi="Noto Sans Arabic" w:eastAsia="Noto Sans Arabic" w:cs="Noto Sans Arabic"/>
          <w:b w:val="0"/>
          <w:color w:val="1F2937"/>
          <w:sz w:val="20"/>
        </w:rPr>
        <w:t>• Instrument Version</w:t>
      </w:r>
    </w:p>
    <w:p>
      <w:pPr>
        <w:bidi w:val="1"/>
        <w:spacing w:after="40" w:before="0" w:line="276" w:lineRule="auto"/>
        <w:ind w:right="0"/>
        <w:jc w:val="right"/>
      </w:pPr>
      <w:r>
        <w:rPr>
          <w:rFonts w:ascii="Noto Sans Arabic" w:hAnsi="Noto Sans Arabic" w:eastAsia="Noto Sans Arabic" w:cs="Noto Sans Arabic"/>
          <w:b w:val="0"/>
          <w:color w:val="1F2937"/>
          <w:sz w:val="20"/>
        </w:rPr>
        <w:t>• Completion Status</w:t>
      </w:r>
    </w:p>
    <w:p>
      <w:pPr>
        <w:bidi w:val="1"/>
        <w:spacing w:after="40" w:before="0" w:line="276" w:lineRule="auto"/>
        <w:ind w:right="0"/>
        <w:jc w:val="right"/>
      </w:pPr>
      <w:r>
        <w:rPr>
          <w:rFonts w:ascii="Noto Sans Arabic" w:hAnsi="Noto Sans Arabic" w:eastAsia="Noto Sans Arabic" w:cs="Noto Sans Arabic"/>
          <w:b w:val="0"/>
          <w:color w:val="1F2937"/>
          <w:sz w:val="20"/>
        </w:rPr>
        <w:t>• Data Origin</w:t>
      </w:r>
    </w:p>
    <w:p>
      <w:pPr>
        <w:pStyle w:val="Heading2"/>
        <w:bidi w:val="1"/>
        <w:spacing w:before="160" w:after="100"/>
        <w:jc w:val="right"/>
      </w:pPr>
      <w:r>
        <w:rPr>
          <w:rFonts w:ascii="Noto Sans Arabic" w:hAnsi="Noto Sans Arabic" w:eastAsia="Noto Sans Arabic" w:cs="Noto Sans Arabic"/>
        </w:rPr>
        <w:t>21.3 Data Origin</w:t>
      </w:r>
    </w:p>
    <w:p>
      <w:pPr>
        <w:pStyle w:val="CodeBlock"/>
        <w:spacing w:after="120"/>
        <w:ind w:left="259" w:right="259"/>
        <w:jc w:val="left"/>
        <w:shd w:fill="F2F5F7"/>
      </w:pPr>
      <w:r>
        <w:rPr>
          <w:rFonts w:ascii="DejaVu Sans" w:hAnsi="DejaVu Sans" w:eastAsia="DejaVu Sans" w:cs="DejaVu Sans"/>
          <w:b w:val="0"/>
          <w:color w:val="1F2937"/>
          <w:sz w:val="17"/>
        </w:rPr>
        <w:t>data_origin = REAL | SYNTHETIC | DEMO | TEST</w:t>
      </w:r>
    </w:p>
    <w:p>
      <w:pPr>
        <w:bidi w:val="1"/>
        <w:spacing w:after="100" w:before="0" w:line="288" w:lineRule="auto"/>
        <w:jc w:val="both"/>
      </w:pPr>
      <w:r>
        <w:rPr>
          <w:rFonts w:ascii="Noto Sans Arabic" w:hAnsi="Noto Sans Arabic" w:eastAsia="Noto Sans Arabic" w:cs="Noto Sans Arabic"/>
          <w:b w:val="0"/>
          <w:color w:val="1F2937"/>
          <w:sz w:val="21"/>
        </w:rPr>
        <w:t>لا تُخلط السجلات الاصطناعية أو التجريبية أو الاختبارية مع البيانات البحثية الحقيقية افتراضيًا.</w:t>
      </w:r>
    </w:p>
    <w:p>
      <w:pPr>
        <w:pStyle w:val="Heading1"/>
        <w:bidi w:val="1"/>
        <w:spacing w:before="160" w:after="160"/>
        <w:jc w:val="right"/>
      </w:pPr>
      <w:r>
        <w:rPr>
          <w:rFonts w:ascii="Noto Sans Arabic" w:hAnsi="Noto Sans Arabic" w:eastAsia="Noto Sans Arabic" w:cs="Noto Sans Arabic"/>
        </w:rPr>
        <w:t>22. Excel Export</w:t>
      </w:r>
    </w:p>
    <w:p>
      <w:pPr>
        <w:pStyle w:val="CodeBlock"/>
        <w:spacing w:after="120"/>
        <w:ind w:left="259" w:right="259"/>
        <w:jc w:val="left"/>
        <w:shd w:fill="F2F5F7"/>
      </w:pPr>
      <w:r>
        <w:rPr>
          <w:rFonts w:ascii="DejaVu Sans" w:hAnsi="DejaVu Sans" w:eastAsia="DejaVu Sans" w:cs="DejaVu Sans"/>
          <w:b w:val="0"/>
          <w:color w:val="1F2937"/>
          <w:sz w:val="17"/>
        </w:rPr>
        <w:t>01_RESPONSES_WIDE</w:t>
        <w:br/>
        <w:t>02_RESPONSES_LONG</w:t>
        <w:br/>
        <w:t>03_MCM_SCORES</w:t>
        <w:br/>
        <w:t>04_SMCE_SCORES</w:t>
        <w:br/>
        <w:t>05_COMPANY_PROFILE</w:t>
        <w:br/>
        <w:t>06_CODEBOOK</w:t>
        <w:br/>
        <w:t>07_VARIABLE_LABELS</w:t>
        <w:br/>
        <w:t>08_VALUE_LABELS</w:t>
        <w:br/>
        <w:t>09_INSTRUMENT</w:t>
        <w:br/>
        <w:t>10_METADATA</w:t>
      </w:r>
    </w:p>
    <w:p>
      <w:pPr>
        <w:pStyle w:val="Heading2"/>
        <w:bidi w:val="1"/>
        <w:spacing w:before="160" w:after="100"/>
        <w:jc w:val="right"/>
      </w:pPr>
      <w:r>
        <w:rPr>
          <w:rFonts w:ascii="Noto Sans Arabic" w:hAnsi="Noto Sans Arabic" w:eastAsia="Noto Sans Arabic" w:cs="Noto Sans Arabic"/>
        </w:rPr>
        <w:t>22.1 مثال Wide Dataset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rPr>
          <w:tblHeader w:val="true"/>
          <w:cantSplit/>
        </w:trPr>
        <w:tc>
          <w:tcPr>
            <w:tcW w:type="dxa" w:w="115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ID</w:t>
            </w:r>
          </w:p>
        </w:tc>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Sector</w:t>
            </w:r>
          </w:p>
        </w:tc>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MCM01_Q01</w:t>
            </w:r>
          </w:p>
        </w:tc>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MCM01_Q02</w:t>
            </w:r>
          </w:p>
        </w:tc>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MCM02_Q01</w:t>
            </w:r>
          </w:p>
        </w:tc>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MCM01_SCORE</w:t>
            </w:r>
          </w:p>
        </w:tc>
        <w:tc>
          <w:tcPr>
            <w:tcW w:type="dxa" w:w="144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MCM_TOTAL</w:t>
            </w:r>
          </w:p>
        </w:tc>
      </w:tr>
      <w:tr>
        <w:trPr>
          <w:cantSplit/>
        </w:trPr>
        <w:tc>
          <w:tcPr>
            <w:tcW w:type="dxa" w:w="115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C001</w:t>
            </w:r>
          </w:p>
        </w:tc>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Tech</w:t>
            </w:r>
          </w:p>
        </w:tc>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4</w:t>
            </w:r>
          </w:p>
        </w:tc>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5</w:t>
            </w:r>
          </w:p>
        </w:tc>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3</w:t>
            </w:r>
          </w:p>
        </w:tc>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82</w:t>
            </w:r>
          </w:p>
        </w:tc>
        <w:tc>
          <w:tcPr>
            <w:tcW w:type="dxa" w:w="144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71</w:t>
            </w:r>
          </w:p>
        </w:tc>
      </w:tr>
    </w:tbl>
    <w:p>
      <w:pPr>
        <w:spacing w:after="40"/>
      </w:pPr>
    </w:p>
    <w:p>
      <w:pPr>
        <w:pStyle w:val="Heading1"/>
        <w:bidi w:val="1"/>
        <w:spacing w:before="160" w:after="160"/>
        <w:jc w:val="right"/>
      </w:pPr>
      <w:r>
        <w:rPr>
          <w:rFonts w:ascii="Noto Sans Arabic" w:hAnsi="Noto Sans Arabic" w:eastAsia="Noto Sans Arabic" w:cs="Noto Sans Arabic"/>
        </w:rPr>
        <w:t>23. SPSS Export</w:t>
      </w:r>
    </w:p>
    <w:p>
      <w:pPr>
        <w:bidi w:val="1"/>
        <w:spacing w:after="100" w:before="0" w:line="288" w:lineRule="auto"/>
        <w:jc w:val="both"/>
      </w:pPr>
      <w:r>
        <w:rPr>
          <w:rFonts w:ascii="Noto Sans Arabic" w:hAnsi="Noto Sans Arabic" w:eastAsia="Noto Sans Arabic" w:cs="Noto Sans Arabic"/>
          <w:b w:val="0"/>
          <w:color w:val="1F2937"/>
          <w:sz w:val="21"/>
        </w:rPr>
        <w:t>الخيار الأساسي: تصدير مباشر إلى .sav باستخدام pyreadstat مع Variable Names, Variable Labels, Value Labels, Missing Values, Numeric/String Types.</w:t>
      </w:r>
    </w:p>
    <w:p>
      <w:pPr>
        <w:bidi w:val="1"/>
        <w:spacing w:after="100" w:before="0" w:line="288" w:lineRule="auto"/>
        <w:jc w:val="both"/>
      </w:pPr>
      <w:r>
        <w:rPr>
          <w:rFonts w:ascii="Noto Sans Arabic" w:hAnsi="Noto Sans Arabic" w:eastAsia="Noto Sans Arabic" w:cs="Noto Sans Arabic"/>
          <w:b w:val="0"/>
          <w:color w:val="1F2937"/>
          <w:sz w:val="21"/>
        </w:rPr>
        <w:t>الخيار الاحتياطي: SPSS Package يحتوي:</w:t>
      </w:r>
    </w:p>
    <w:p>
      <w:pPr>
        <w:pStyle w:val="CodeBlock"/>
        <w:spacing w:after="120"/>
        <w:ind w:left="259" w:right="259"/>
        <w:jc w:val="left"/>
        <w:shd w:fill="F2F5F7"/>
      </w:pPr>
      <w:r>
        <w:rPr>
          <w:rFonts w:ascii="DejaVu Sans" w:hAnsi="DejaVu Sans" w:eastAsia="DejaVu Sans" w:cs="DejaVu Sans"/>
          <w:b w:val="0"/>
          <w:color w:val="1F2937"/>
          <w:sz w:val="17"/>
        </w:rPr>
        <w:t>dataset.csv</w:t>
        <w:br/>
        <w:t>codebook.xlsx</w:t>
        <w:br/>
        <w:t>labels.xlsx</w:t>
        <w:br/>
        <w:t>import.sps</w:t>
        <w:br/>
        <w:t>README.txt</w:t>
      </w:r>
    </w:p>
    <w:p>
      <w:pPr>
        <w:pStyle w:val="Heading2"/>
        <w:bidi w:val="1"/>
        <w:spacing w:before="160" w:after="100"/>
        <w:jc w:val="right"/>
      </w:pPr>
      <w:r>
        <w:rPr>
          <w:rFonts w:ascii="Noto Sans Arabic" w:hAnsi="Noto Sans Arabic" w:eastAsia="Noto Sans Arabic" w:cs="Noto Sans Arabic"/>
        </w:rPr>
        <w:t>23.1 أسماء المتغيرات</w:t>
      </w:r>
    </w:p>
    <w:p>
      <w:pPr>
        <w:pStyle w:val="CodeBlock"/>
        <w:spacing w:after="120"/>
        <w:ind w:left="259" w:right="259"/>
        <w:jc w:val="left"/>
        <w:shd w:fill="F2F5F7"/>
      </w:pPr>
      <w:r>
        <w:rPr>
          <w:rFonts w:ascii="DejaVu Sans" w:hAnsi="DejaVu Sans" w:eastAsia="DejaVu Sans" w:cs="DejaVu Sans"/>
          <w:b w:val="0"/>
          <w:color w:val="1F2937"/>
          <w:sz w:val="17"/>
        </w:rPr>
        <w:t>ORG_ID</w:t>
        <w:br/>
        <w:t>SECTOR</w:t>
        <w:br/>
        <w:t>SIZE</w:t>
        <w:br/>
        <w:t>MCM01_01</w:t>
        <w:br/>
        <w:t>MCM01_02</w:t>
        <w:br/>
        <w:t>MCM02_01</w:t>
        <w:br/>
        <w:t>SMCE01_01</w:t>
        <w:br/>
        <w:t>MCM01_SCORE</w:t>
        <w:br/>
        <w:t>MCM_TOTAL</w:t>
        <w:br/>
        <w:t>SMCE_TOTAL</w:t>
      </w:r>
    </w:p>
    <w:p>
      <w:pPr>
        <w:bidi w:val="1"/>
        <w:spacing w:after="100" w:before="0" w:line="288" w:lineRule="auto"/>
        <w:jc w:val="both"/>
      </w:pPr>
      <w:r>
        <w:rPr>
          <w:rFonts w:ascii="Noto Sans Arabic" w:hAnsi="Noto Sans Arabic" w:eastAsia="Noto Sans Arabic" w:cs="Noto Sans Arabic"/>
          <w:b w:val="0"/>
          <w:color w:val="1F2937"/>
          <w:sz w:val="21"/>
        </w:rPr>
        <w:t>لا تستخدم العربية كـVariable Name. يمكن أن يكون Variable Label بالعربية.</w:t>
      </w:r>
    </w:p>
    <w:p>
      <w:pPr>
        <w:pStyle w:val="Heading1"/>
        <w:bidi w:val="1"/>
        <w:spacing w:before="160" w:after="160"/>
        <w:jc w:val="right"/>
      </w:pPr>
      <w:r>
        <w:rPr>
          <w:rFonts w:ascii="Noto Sans Arabic" w:hAnsi="Noto Sans Arabic" w:eastAsia="Noto Sans Arabic" w:cs="Noto Sans Arabic"/>
        </w:rPr>
        <w:t>24. Missing Data</w:t>
      </w:r>
    </w:p>
    <w:p>
      <w:pPr>
        <w:pStyle w:val="CodeBlock"/>
        <w:spacing w:after="120"/>
        <w:ind w:left="259" w:right="259"/>
        <w:jc w:val="left"/>
        <w:shd w:fill="F2F5F7"/>
      </w:pPr>
      <w:r>
        <w:rPr>
          <w:rFonts w:ascii="DejaVu Sans" w:hAnsi="DejaVu Sans" w:eastAsia="DejaVu Sans" w:cs="DejaVu Sans"/>
          <w:b w:val="0"/>
          <w:color w:val="1F2937"/>
          <w:sz w:val="17"/>
        </w:rPr>
        <w:t>NOT_ANSWERED</w:t>
        <w:br/>
        <w:t>NOT_APPLICABLE</w:t>
        <w:br/>
        <w:t>SKIPPED</w:t>
        <w:br/>
        <w:t>TECHNICAL_MISSING</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قاعدة</w:t>
              <w:br/>
            </w:r>
            <w:r>
              <w:rPr>
                <w:rFonts w:ascii="Noto Sans Arabic" w:hAnsi="Noto Sans Arabic" w:eastAsia="Noto Sans Arabic" w:cs="Noto Sans Arabic"/>
                <w:b w:val="0"/>
                <w:color w:val="1F2937"/>
                <w:sz w:val="19"/>
              </w:rPr>
              <w:t>لا يتم تحويل Missing Data إلى صفر. يجب الحفاظ على سبب الغياب في قاعدة البيانات والتصدير.</w:t>
            </w:r>
          </w:p>
        </w:tc>
      </w:tr>
    </w:tbl>
    <w:p>
      <w:pPr>
        <w:pStyle w:val="Heading1"/>
        <w:bidi w:val="1"/>
        <w:spacing w:before="160" w:after="160"/>
        <w:jc w:val="right"/>
      </w:pPr>
      <w:r>
        <w:rPr>
          <w:rFonts w:ascii="Noto Sans Arabic" w:hAnsi="Noto Sans Arabic" w:eastAsia="Noto Sans Arabic" w:cs="Noto Sans Arabic"/>
        </w:rPr>
        <w:t>25. Instrument Versioning &amp; Audit Trail</w:t>
      </w:r>
    </w:p>
    <w:p>
      <w:pPr>
        <w:bidi w:val="1"/>
        <w:spacing w:after="40" w:before="0" w:line="276" w:lineRule="auto"/>
        <w:ind w:right="0"/>
        <w:jc w:val="right"/>
      </w:pPr>
      <w:r>
        <w:rPr>
          <w:rFonts w:ascii="Noto Sans Arabic" w:hAnsi="Noto Sans Arabic" w:eastAsia="Noto Sans Arabic" w:cs="Noto Sans Arabic"/>
          <w:b w:val="0"/>
          <w:color w:val="1F2937"/>
          <w:sz w:val="20"/>
        </w:rPr>
        <w:t>• كل Response يسجل instrument_version_id.</w:t>
      </w:r>
    </w:p>
    <w:p>
      <w:pPr>
        <w:bidi w:val="1"/>
        <w:spacing w:after="40" w:before="0" w:line="276" w:lineRule="auto"/>
        <w:ind w:right="0"/>
        <w:jc w:val="right"/>
      </w:pPr>
      <w:r>
        <w:rPr>
          <w:rFonts w:ascii="Noto Sans Arabic" w:hAnsi="Noto Sans Arabic" w:eastAsia="Noto Sans Arabic" w:cs="Noto Sans Arabic"/>
          <w:b w:val="0"/>
          <w:color w:val="1F2937"/>
          <w:sz w:val="20"/>
        </w:rPr>
        <w:t>• لا تختلط إجابات MCM Pilot 0.2 مع MCM Validated 1.0 دون معرفة الإصدار.</w:t>
      </w:r>
    </w:p>
    <w:p>
      <w:pPr>
        <w:bidi w:val="1"/>
        <w:spacing w:after="40" w:before="0" w:line="276" w:lineRule="auto"/>
        <w:ind w:right="0"/>
        <w:jc w:val="right"/>
      </w:pPr>
      <w:r>
        <w:rPr>
          <w:rFonts w:ascii="Noto Sans Arabic" w:hAnsi="Noto Sans Arabic" w:eastAsia="Noto Sans Arabic" w:cs="Noto Sans Arabic"/>
          <w:b w:val="0"/>
          <w:color w:val="1F2937"/>
          <w:sz w:val="20"/>
        </w:rPr>
        <w:t>• يسجل created_at وupdated_at وsubmitted_at وquestion_version وscore_version وinstrument_version.</w:t>
      </w:r>
    </w:p>
    <w:p>
      <w:pPr>
        <w:bidi w:val="1"/>
        <w:spacing w:after="40" w:before="0" w:line="276" w:lineRule="auto"/>
        <w:ind w:right="0"/>
        <w:jc w:val="right"/>
      </w:pPr>
      <w:r>
        <w:rPr>
          <w:rFonts w:ascii="Noto Sans Arabic" w:hAnsi="Noto Sans Arabic" w:eastAsia="Noto Sans Arabic" w:cs="Noto Sans Arabic"/>
          <w:b w:val="0"/>
          <w:color w:val="1F2937"/>
          <w:sz w:val="20"/>
        </w:rPr>
        <w:t>• أي تعديل إداري مهم يسجل في audit_logs.</w:t>
      </w:r>
    </w:p>
    <w:p>
      <w:pPr>
        <w:pStyle w:val="Heading1"/>
        <w:bidi w:val="1"/>
        <w:spacing w:before="160" w:after="160"/>
        <w:jc w:val="right"/>
      </w:pPr>
      <w:r>
        <w:rPr>
          <w:rFonts w:ascii="Noto Sans Arabic" w:hAnsi="Noto Sans Arabic" w:eastAsia="Noto Sans Arabic" w:cs="Noto Sans Arabic"/>
        </w:rPr>
        <w:t>26. قاعدة البيانات المقترحة</w:t>
      </w:r>
    </w:p>
    <w:p>
      <w:pPr>
        <w:bidi w:val="1"/>
        <w:spacing w:after="100" w:before="0" w:line="288" w:lineRule="auto"/>
        <w:jc w:val="both"/>
      </w:pPr>
      <w:r>
        <w:rPr>
          <w:rFonts w:ascii="Noto Sans Arabic" w:hAnsi="Noto Sans Arabic" w:eastAsia="Noto Sans Arabic" w:cs="Noto Sans Arabic"/>
          <w:b w:val="0"/>
          <w:color w:val="1F2937"/>
          <w:sz w:val="21"/>
        </w:rPr>
        <w:t>قاعدة الإنتاج الموصى بها: PostgreSQL.</w:t>
      </w:r>
    </w:p>
    <w:p>
      <w:pPr>
        <w:pStyle w:val="CodeBlock"/>
        <w:spacing w:after="120"/>
        <w:ind w:left="259" w:right="259"/>
        <w:jc w:val="left"/>
        <w:shd w:fill="F2F5F7"/>
      </w:pPr>
      <w:r>
        <w:rPr>
          <w:rFonts w:ascii="DejaVu Sans" w:hAnsi="DejaVu Sans" w:eastAsia="DejaVu Sans" w:cs="DejaVu Sans"/>
          <w:b w:val="0"/>
          <w:color w:val="1F2937"/>
          <w:sz w:val="17"/>
        </w:rPr>
        <w:t>users</w:t>
        <w:br/>
        <w:t>organizations</w:t>
        <w:br/>
        <w:t>organization_users</w:t>
        <w:br/>
        <w:t>consents</w:t>
        <w:br/>
        <w:t>instruments</w:t>
        <w:br/>
        <w:t>instrument_versions</w:t>
        <w:br/>
        <w:t>dimensions</w:t>
        <w:br/>
        <w:t>items</w:t>
        <w:br/>
        <w:t>item_options</w:t>
        <w:br/>
        <w:t>assessments</w:t>
        <w:br/>
        <w:t>responses</w:t>
        <w:br/>
        <w:t>dimension_scores</w:t>
        <w:br/>
        <w:t>assessment_scores</w:t>
        <w:br/>
        <w:t>maturity_levels</w:t>
        <w:br/>
        <w:t>diagnostic_rules</w:t>
        <w:br/>
        <w:t>diagnostic_results</w:t>
        <w:br/>
        <w:t>recommendations</w:t>
        <w:br/>
        <w:t>assessment_recommendations</w:t>
        <w:br/>
        <w:t>benchmarks</w:t>
        <w:br/>
        <w:t>reports</w:t>
        <w:br/>
        <w:t>research_exports</w:t>
        <w:br/>
        <w:t>audit_logs</w:t>
      </w:r>
    </w:p>
    <w:p>
      <w:pPr>
        <w:pStyle w:val="Heading1"/>
        <w:bidi w:val="1"/>
        <w:spacing w:before="160" w:after="160"/>
        <w:jc w:val="right"/>
      </w:pPr>
      <w:r>
        <w:rPr>
          <w:rFonts w:ascii="Noto Sans Arabic" w:hAnsi="Noto Sans Arabic" w:eastAsia="Noto Sans Arabic" w:cs="Noto Sans Arabic"/>
        </w:rPr>
        <w:t>27. Technology Stack</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الطبقة</w:t>
            </w:r>
          </w:p>
        </w:tc>
        <w:tc>
          <w:tcPr>
            <w:tcW w:type="dxa" w:w="691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التقنية</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Frontend</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Next.js 15 / React + TypeScript</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UI</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Tailwind CSS</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Charts</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Apache ECharts</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Backend</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Python FastAPI</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Database</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PostgreSQL</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ORM</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SQLAlchemy</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Validation</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Pydantic</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Authentication</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JWT + Refresh Token</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Excel</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openpyxl</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SPSS</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pyreadstat</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PDF</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Playwright HTML → PDF</w:t>
            </w:r>
          </w:p>
        </w:tc>
      </w:tr>
      <w:tr>
        <w:trPr>
          <w:cantSplit/>
        </w:trPr>
        <w:tc>
          <w:tcPr>
            <w:tcW w:type="dxa" w:w="28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Deployment</w:t>
            </w:r>
          </w:p>
        </w:tc>
        <w:tc>
          <w:tcPr>
            <w:tcW w:type="dxa" w:w="69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Docker / docker-compose</w:t>
            </w:r>
          </w:p>
        </w:tc>
      </w:tr>
      <w:tr>
        <w:trPr>
          <w:cantSplit/>
        </w:trPr>
        <w:tc>
          <w:tcPr>
            <w:tcW w:type="dxa" w:w="28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Reverse Proxy</w:t>
            </w:r>
          </w:p>
        </w:tc>
        <w:tc>
          <w:tcPr>
            <w:tcW w:type="dxa" w:w="69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Caddy أو Nginx</w:t>
            </w:r>
          </w:p>
        </w:tc>
      </w:tr>
    </w:tbl>
    <w:p>
      <w:pPr>
        <w:spacing w:after="40"/>
      </w:pPr>
    </w:p>
    <w:p>
      <w:pPr>
        <w:pStyle w:val="Heading2"/>
        <w:bidi w:val="1"/>
        <w:spacing w:before="160" w:after="100"/>
        <w:jc w:val="right"/>
      </w:pPr>
      <w:r>
        <w:rPr>
          <w:rFonts w:ascii="Noto Sans Arabic" w:hAnsi="Noto Sans Arabic" w:eastAsia="Noto Sans Arabic" w:cs="Noto Sans Arabic"/>
        </w:rPr>
        <w:t>27.1 سبب اختيار Python Backend</w:t>
      </w:r>
    </w:p>
    <w:p>
      <w:pPr>
        <w:bidi w:val="1"/>
        <w:spacing w:after="100" w:before="0" w:line="288" w:lineRule="auto"/>
        <w:jc w:val="both"/>
      </w:pPr>
      <w:r>
        <w:rPr>
          <w:rFonts w:ascii="Noto Sans Arabic" w:hAnsi="Noto Sans Arabic" w:eastAsia="Noto Sans Arabic" w:cs="Noto Sans Arabic"/>
          <w:b w:val="0"/>
          <w:color w:val="1F2937"/>
          <w:sz w:val="21"/>
        </w:rPr>
        <w:t>لأن المنصة بحثية وتحليلية وستحتاج لاحقًا إلى Cronbach Alpha وMcDonald’s Omega وEFA وCFA وCorrelations وRegression وSEM وتحليل Missing Data وOutliers وتطوير Norms.</w:t>
      </w:r>
    </w:p>
    <w:p>
      <w:pPr>
        <w:pStyle w:val="Heading1"/>
        <w:bidi w:val="1"/>
        <w:spacing w:before="160" w:after="160"/>
        <w:jc w:val="right"/>
      </w:pPr>
      <w:r>
        <w:rPr>
          <w:rFonts w:ascii="Noto Sans Arabic" w:hAnsi="Noto Sans Arabic" w:eastAsia="Noto Sans Arabic" w:cs="Noto Sans Arabic"/>
        </w:rPr>
        <w:t>28. الهوية البصرية</w:t>
      </w:r>
    </w:p>
    <w:p>
      <w:pPr>
        <w:bidi w:val="1"/>
        <w:spacing w:after="100" w:before="0" w:line="288" w:lineRule="auto"/>
        <w:jc w:val="both"/>
      </w:pPr>
      <w:r>
        <w:rPr>
          <w:rFonts w:ascii="Noto Sans Arabic" w:hAnsi="Noto Sans Arabic" w:eastAsia="Noto Sans Arabic" w:cs="Noto Sans Arabic"/>
          <w:b w:val="0"/>
          <w:color w:val="1F2937"/>
          <w:sz w:val="21"/>
        </w:rPr>
        <w:t>الاسم المعتمد في جميع الواجهات والتقارير والملفات: نضج MCM.</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الاستخدام</w:t>
            </w:r>
          </w:p>
        </w:tc>
        <w:tc>
          <w:tcPr>
            <w:tcW w:type="dxa" w:w="6480"/>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اللون</w:t>
            </w:r>
          </w:p>
        </w:tc>
      </w:tr>
      <w:tr>
        <w:trPr>
          <w:cantSplit/>
        </w:trPr>
        <w:tc>
          <w:tcPr>
            <w:tcW w:type="dxa" w:w="33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Primary Dark</w:t>
            </w:r>
          </w:p>
        </w:tc>
        <w:tc>
          <w:tcPr>
            <w:tcW w:type="dxa" w:w="64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#0D2B36</w:t>
            </w:r>
          </w:p>
        </w:tc>
      </w:tr>
      <w:tr>
        <w:trPr>
          <w:cantSplit/>
        </w:trPr>
        <w:tc>
          <w:tcPr>
            <w:tcW w:type="dxa" w:w="33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Secondary Dark</w:t>
            </w:r>
          </w:p>
        </w:tc>
        <w:tc>
          <w:tcPr>
            <w:tcW w:type="dxa" w:w="64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#0F4C5C</w:t>
            </w:r>
          </w:p>
        </w:tc>
      </w:tr>
      <w:tr>
        <w:trPr>
          <w:cantSplit/>
        </w:trPr>
        <w:tc>
          <w:tcPr>
            <w:tcW w:type="dxa" w:w="33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Teal</w:t>
            </w:r>
          </w:p>
        </w:tc>
        <w:tc>
          <w:tcPr>
            <w:tcW w:type="dxa" w:w="64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#18A999</w:t>
            </w:r>
          </w:p>
        </w:tc>
      </w:tr>
      <w:tr>
        <w:trPr>
          <w:cantSplit/>
        </w:trPr>
        <w:tc>
          <w:tcPr>
            <w:tcW w:type="dxa" w:w="33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Green</w:t>
            </w:r>
          </w:p>
        </w:tc>
        <w:tc>
          <w:tcPr>
            <w:tcW w:type="dxa" w:w="64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#8BCB7C</w:t>
            </w:r>
          </w:p>
        </w:tc>
      </w:tr>
      <w:tr>
        <w:trPr>
          <w:cantSplit/>
        </w:trPr>
        <w:tc>
          <w:tcPr>
            <w:tcW w:type="dxa" w:w="3312"/>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Background</w:t>
            </w:r>
          </w:p>
        </w:tc>
        <w:tc>
          <w:tcPr>
            <w:tcW w:type="dxa" w:w="6480"/>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#F2F5F7</w:t>
            </w:r>
          </w:p>
        </w:tc>
      </w:tr>
      <w:tr>
        <w:trPr>
          <w:cantSplit/>
        </w:trPr>
        <w:tc>
          <w:tcPr>
            <w:tcW w:type="dxa" w:w="3312"/>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White</w:t>
            </w:r>
          </w:p>
        </w:tc>
        <w:tc>
          <w:tcPr>
            <w:tcW w:type="dxa" w:w="6480"/>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#FFFFFF</w:t>
            </w:r>
          </w:p>
        </w:tc>
      </w:tr>
    </w:tbl>
    <w:p>
      <w:pPr>
        <w:spacing w:after="40"/>
      </w:pPr>
    </w:p>
    <w:p>
      <w:pPr>
        <w:bidi w:val="1"/>
        <w:spacing w:after="100" w:before="0" w:line="288" w:lineRule="auto"/>
        <w:jc w:val="both"/>
      </w:pPr>
      <w:r>
        <w:rPr>
          <w:rFonts w:ascii="Noto Sans Arabic" w:hAnsi="Noto Sans Arabic" w:eastAsia="Noto Sans Arabic" w:cs="Noto Sans Arabic"/>
          <w:b w:val="0"/>
          <w:color w:val="1F2937"/>
          <w:sz w:val="21"/>
        </w:rPr>
        <w:t>الخط العربي المقترح: IBM Plex Sans Arabic. عند عدم توفره في بيئة التشغيل يمكن استخدام Noto Sans Arabic كبديل تقني آمن. الخط الإنجليزي: Inter.</w:t>
      </w:r>
    </w:p>
    <w:p>
      <w:pPr>
        <w:pStyle w:val="Heading2"/>
        <w:bidi w:val="1"/>
        <w:spacing w:before="160" w:after="100"/>
        <w:jc w:val="right"/>
      </w:pPr>
      <w:r>
        <w:rPr>
          <w:rFonts w:ascii="Noto Sans Arabic" w:hAnsi="Noto Sans Arabic" w:eastAsia="Noto Sans Arabic" w:cs="Noto Sans Arabic"/>
        </w:rPr>
        <w:t>28.1 Design Rules</w:t>
      </w:r>
    </w:p>
    <w:p>
      <w:pPr>
        <w:bidi w:val="1"/>
        <w:spacing w:after="40" w:before="0" w:line="276" w:lineRule="auto"/>
        <w:ind w:right="0"/>
        <w:jc w:val="right"/>
      </w:pPr>
      <w:r>
        <w:rPr>
          <w:rFonts w:ascii="Noto Sans Arabic" w:hAnsi="Noto Sans Arabic" w:eastAsia="Noto Sans Arabic" w:cs="Noto Sans Arabic"/>
          <w:b w:val="0"/>
          <w:color w:val="1F2937"/>
          <w:sz w:val="20"/>
        </w:rPr>
        <w:t>• RTL افتراضي للعربية وLTR للإنجليزية.</w:t>
      </w:r>
    </w:p>
    <w:p>
      <w:pPr>
        <w:bidi w:val="1"/>
        <w:spacing w:after="40" w:before="0" w:line="276" w:lineRule="auto"/>
        <w:ind w:right="0"/>
        <w:jc w:val="right"/>
      </w:pPr>
      <w:r>
        <w:rPr>
          <w:rFonts w:ascii="Noto Sans Arabic" w:hAnsi="Noto Sans Arabic" w:eastAsia="Noto Sans Arabic" w:cs="Noto Sans Arabic"/>
          <w:b w:val="0"/>
          <w:color w:val="1F2937"/>
          <w:sz w:val="20"/>
        </w:rPr>
        <w:t>• White space واسع.</w:t>
      </w:r>
    </w:p>
    <w:p>
      <w:pPr>
        <w:bidi w:val="1"/>
        <w:spacing w:after="40" w:before="0" w:line="276" w:lineRule="auto"/>
        <w:ind w:right="0"/>
        <w:jc w:val="right"/>
      </w:pPr>
      <w:r>
        <w:rPr>
          <w:rFonts w:ascii="Noto Sans Arabic" w:hAnsi="Noto Sans Arabic" w:eastAsia="Noto Sans Arabic" w:cs="Noto Sans Arabic"/>
          <w:b w:val="0"/>
          <w:color w:val="1F2937"/>
          <w:sz w:val="20"/>
        </w:rPr>
        <w:t>• طابع Corporate / Scientific / Strategic.</w:t>
      </w:r>
    </w:p>
    <w:p>
      <w:pPr>
        <w:bidi w:val="1"/>
        <w:spacing w:after="40" w:before="0" w:line="276" w:lineRule="auto"/>
        <w:ind w:right="0"/>
        <w:jc w:val="right"/>
      </w:pPr>
      <w:r>
        <w:rPr>
          <w:rFonts w:ascii="Noto Sans Arabic" w:hAnsi="Noto Sans Arabic" w:eastAsia="Noto Sans Arabic" w:cs="Noto Sans Arabic"/>
          <w:b w:val="0"/>
          <w:color w:val="1F2937"/>
          <w:sz w:val="20"/>
        </w:rPr>
        <w:t>• لا تبدو المنصة كاختبار Quiz أو لعبة.</w:t>
      </w:r>
    </w:p>
    <w:p>
      <w:pPr>
        <w:bidi w:val="1"/>
        <w:spacing w:after="40" w:before="0" w:line="276" w:lineRule="auto"/>
        <w:ind w:right="0"/>
        <w:jc w:val="right"/>
      </w:pPr>
      <w:r>
        <w:rPr>
          <w:rFonts w:ascii="Noto Sans Arabic" w:hAnsi="Noto Sans Arabic" w:eastAsia="Noto Sans Arabic" w:cs="Noto Sans Arabic"/>
          <w:b w:val="0"/>
          <w:color w:val="1F2937"/>
          <w:sz w:val="20"/>
        </w:rPr>
        <w:t>• Teal للـCTA والتفاعل، Navy للعناوين.</w:t>
      </w:r>
    </w:p>
    <w:p>
      <w:pPr>
        <w:bidi w:val="1"/>
        <w:spacing w:after="40" w:before="0" w:line="276" w:lineRule="auto"/>
        <w:ind w:right="0"/>
        <w:jc w:val="right"/>
      </w:pPr>
      <w:r>
        <w:rPr>
          <w:rFonts w:ascii="Noto Sans Arabic" w:hAnsi="Noto Sans Arabic" w:eastAsia="Noto Sans Arabic" w:cs="Noto Sans Arabic"/>
          <w:b w:val="0"/>
          <w:color w:val="1F2937"/>
          <w:sz w:val="20"/>
        </w:rPr>
        <w:t>• Charts نظيفة ومقروءة.</w:t>
      </w:r>
    </w:p>
    <w:p>
      <w:pPr>
        <w:bidi w:val="1"/>
        <w:spacing w:after="40" w:before="0" w:line="276" w:lineRule="auto"/>
        <w:ind w:right="0"/>
        <w:jc w:val="right"/>
      </w:pPr>
      <w:r>
        <w:rPr>
          <w:rFonts w:ascii="Noto Sans Arabic" w:hAnsi="Noto Sans Arabic" w:eastAsia="Noto Sans Arabic" w:cs="Noto Sans Arabic"/>
          <w:b w:val="0"/>
          <w:color w:val="1F2937"/>
          <w:sz w:val="20"/>
        </w:rPr>
        <w:t>• Mobile Responsive.</w:t>
      </w:r>
    </w:p>
    <w:p>
      <w:pPr>
        <w:bidi w:val="1"/>
        <w:spacing w:after="40" w:before="0" w:line="276" w:lineRule="auto"/>
        <w:ind w:right="0"/>
        <w:jc w:val="right"/>
      </w:pPr>
      <w:r>
        <w:rPr>
          <w:rFonts w:ascii="Noto Sans Arabic" w:hAnsi="Noto Sans Arabic" w:eastAsia="Noto Sans Arabic" w:cs="Noto Sans Arabic"/>
          <w:b w:val="0"/>
          <w:color w:val="1F2937"/>
          <w:sz w:val="20"/>
        </w:rPr>
        <w:t>• دعم Accessibility في النماذج والألوان والتنقل بلوحة المفاتيح.</w:t>
      </w:r>
    </w:p>
    <w:p>
      <w:pPr>
        <w:pStyle w:val="Heading1"/>
        <w:bidi w:val="1"/>
        <w:spacing w:before="160" w:after="160"/>
        <w:jc w:val="right"/>
      </w:pPr>
      <w:r>
        <w:rPr>
          <w:rFonts w:ascii="Noto Sans Arabic" w:hAnsi="Noto Sans Arabic" w:eastAsia="Noto Sans Arabic" w:cs="Noto Sans Arabic"/>
        </w:rPr>
        <w:t>29. Navigation</w:t>
      </w:r>
    </w:p>
    <w:p>
      <w:pPr>
        <w:pStyle w:val="Heading2"/>
        <w:bidi w:val="1"/>
        <w:spacing w:before="160" w:after="100"/>
        <w:jc w:val="right"/>
      </w:pPr>
      <w:r>
        <w:rPr>
          <w:rFonts w:ascii="Noto Sans Arabic" w:hAnsi="Noto Sans Arabic" w:eastAsia="Noto Sans Arabic" w:cs="Noto Sans Arabic"/>
        </w:rPr>
        <w:t>29.1 الشركة</w:t>
      </w:r>
    </w:p>
    <w:p>
      <w:pPr>
        <w:pStyle w:val="CodeBlock"/>
        <w:spacing w:after="120"/>
        <w:ind w:left="259" w:right="259"/>
        <w:jc w:val="left"/>
        <w:shd w:fill="F2F5F7"/>
      </w:pPr>
      <w:r>
        <w:rPr>
          <w:rFonts w:ascii="DejaVu Sans" w:hAnsi="DejaVu Sans" w:eastAsia="DejaVu Sans" w:cs="DejaVu Sans"/>
          <w:b w:val="0"/>
          <w:color w:val="1F2937"/>
          <w:sz w:val="17"/>
        </w:rPr>
        <w:t>الرئيسية</w:t>
        <w:br/>
        <w:t>التقييم</w:t>
        <w:br/>
        <w:t>النتائج</w:t>
        <w:br/>
        <w:t>التحليل</w:t>
        <w:br/>
        <w:t>خطة التحسين</w:t>
        <w:br/>
        <w:t>المقارنة</w:t>
        <w:br/>
        <w:t>التقارير</w:t>
        <w:br/>
        <w:t>سجل التقييمات</w:t>
        <w:br/>
        <w:t>إعدادات الشركة</w:t>
      </w:r>
    </w:p>
    <w:p>
      <w:pPr>
        <w:pStyle w:val="Heading2"/>
        <w:bidi w:val="1"/>
        <w:spacing w:before="160" w:after="100"/>
        <w:jc w:val="right"/>
      </w:pPr>
      <w:r>
        <w:rPr>
          <w:rFonts w:ascii="Noto Sans Arabic" w:hAnsi="Noto Sans Arabic" w:eastAsia="Noto Sans Arabic" w:cs="Noto Sans Arabic"/>
        </w:rPr>
        <w:t>29.2 الباحث</w:t>
      </w:r>
    </w:p>
    <w:p>
      <w:pPr>
        <w:pStyle w:val="CodeBlock"/>
        <w:spacing w:after="120"/>
        <w:ind w:left="259" w:right="259"/>
        <w:jc w:val="left"/>
        <w:shd w:fill="F2F5F7"/>
      </w:pPr>
      <w:r>
        <w:rPr>
          <w:rFonts w:ascii="DejaVu Sans" w:hAnsi="DejaVu Sans" w:eastAsia="DejaVu Sans" w:cs="DejaVu Sans"/>
          <w:b w:val="0"/>
          <w:color w:val="1F2937"/>
          <w:sz w:val="17"/>
        </w:rPr>
        <w:t>Overview</w:t>
        <w:br/>
        <w:t>Dataset</w:t>
        <w:br/>
        <w:t>Participants</w:t>
        <w:br/>
        <w:t>Instrument</w:t>
        <w:br/>
        <w:t>Reliability</w:t>
        <w:br/>
        <w:t>Validity</w:t>
        <w:br/>
        <w:t>Statistics</w:t>
        <w:br/>
        <w:t>Benchmarks</w:t>
        <w:br/>
        <w:t>Exports</w:t>
        <w:br/>
        <w:t>Data Quality</w:t>
        <w:br/>
        <w:t>Audit</w:t>
        <w:br/>
        <w:t>Settings</w:t>
      </w:r>
    </w:p>
    <w:p>
      <w:pPr>
        <w:bidi w:val="1"/>
        <w:spacing w:after="100" w:before="0" w:line="288" w:lineRule="auto"/>
        <w:jc w:val="both"/>
      </w:pPr>
      <w:r>
        <w:rPr>
          <w:rFonts w:ascii="Noto Sans Arabic" w:hAnsi="Noto Sans Arabic" w:eastAsia="Noto Sans Arabic" w:cs="Noto Sans Arabic"/>
          <w:b w:val="0"/>
          <w:color w:val="1F2937"/>
          <w:sz w:val="21"/>
        </w:rPr>
        <w:t>يمكن تعطيل صفحات Reliability/Validity/Statistics في MVP إلى أن تتوفر عينة مناسبة، مع عدم إزالتها من المعمار.</w:t>
      </w:r>
    </w:p>
    <w:p>
      <w:pPr>
        <w:pStyle w:val="Heading1"/>
        <w:bidi w:val="1"/>
        <w:spacing w:before="160" w:after="160"/>
        <w:jc w:val="right"/>
      </w:pPr>
      <w:r>
        <w:rPr>
          <w:rFonts w:ascii="Noto Sans Arabic" w:hAnsi="Noto Sans Arabic" w:eastAsia="Noto Sans Arabic" w:cs="Noto Sans Arabic"/>
        </w:rPr>
        <w:t>30. Security &amp; Privacy</w:t>
      </w:r>
    </w:p>
    <w:p>
      <w:pPr>
        <w:bidi w:val="1"/>
        <w:spacing w:after="40" w:before="0" w:line="276" w:lineRule="auto"/>
        <w:ind w:right="0"/>
        <w:jc w:val="right"/>
      </w:pPr>
      <w:r>
        <w:rPr>
          <w:rFonts w:ascii="Noto Sans Arabic" w:hAnsi="Noto Sans Arabic" w:eastAsia="Noto Sans Arabic" w:cs="Noto Sans Arabic"/>
          <w:b w:val="0"/>
          <w:color w:val="1F2937"/>
          <w:sz w:val="20"/>
        </w:rPr>
        <w:t>• HTTPS.</w:t>
      </w:r>
    </w:p>
    <w:p>
      <w:pPr>
        <w:bidi w:val="1"/>
        <w:spacing w:after="40" w:before="0" w:line="276" w:lineRule="auto"/>
        <w:ind w:right="0"/>
        <w:jc w:val="right"/>
      </w:pPr>
      <w:r>
        <w:rPr>
          <w:rFonts w:ascii="Noto Sans Arabic" w:hAnsi="Noto Sans Arabic" w:eastAsia="Noto Sans Arabic" w:cs="Noto Sans Arabic"/>
          <w:b w:val="0"/>
          <w:color w:val="1F2937"/>
          <w:sz w:val="20"/>
        </w:rPr>
        <w:t>• Secure password hashing.</w:t>
      </w:r>
    </w:p>
    <w:p>
      <w:pPr>
        <w:bidi w:val="1"/>
        <w:spacing w:after="40" w:before="0" w:line="276" w:lineRule="auto"/>
        <w:ind w:right="0"/>
        <w:jc w:val="right"/>
      </w:pPr>
      <w:r>
        <w:rPr>
          <w:rFonts w:ascii="Noto Sans Arabic" w:hAnsi="Noto Sans Arabic" w:eastAsia="Noto Sans Arabic" w:cs="Noto Sans Arabic"/>
          <w:b w:val="0"/>
          <w:color w:val="1F2937"/>
          <w:sz w:val="20"/>
        </w:rPr>
        <w:t>• JWT expiry + Refresh tokens.</w:t>
      </w:r>
    </w:p>
    <w:p>
      <w:pPr>
        <w:bidi w:val="1"/>
        <w:spacing w:after="40" w:before="0" w:line="276" w:lineRule="auto"/>
        <w:ind w:right="0"/>
        <w:jc w:val="right"/>
      </w:pPr>
      <w:r>
        <w:rPr>
          <w:rFonts w:ascii="Noto Sans Arabic" w:hAnsi="Noto Sans Arabic" w:eastAsia="Noto Sans Arabic" w:cs="Noto Sans Arabic"/>
          <w:b w:val="0"/>
          <w:color w:val="1F2937"/>
          <w:sz w:val="20"/>
        </w:rPr>
        <w:t>• Role-based authorization.</w:t>
      </w:r>
    </w:p>
    <w:p>
      <w:pPr>
        <w:bidi w:val="1"/>
        <w:spacing w:after="40" w:before="0" w:line="276" w:lineRule="auto"/>
        <w:ind w:right="0"/>
        <w:jc w:val="right"/>
      </w:pPr>
      <w:r>
        <w:rPr>
          <w:rFonts w:ascii="Noto Sans Arabic" w:hAnsi="Noto Sans Arabic" w:eastAsia="Noto Sans Arabic" w:cs="Noto Sans Arabic"/>
          <w:b w:val="0"/>
          <w:color w:val="1F2937"/>
          <w:sz w:val="20"/>
        </w:rPr>
        <w:t>• Rate limiting.</w:t>
      </w:r>
    </w:p>
    <w:p>
      <w:pPr>
        <w:bidi w:val="1"/>
        <w:spacing w:after="40" w:before="0" w:line="276" w:lineRule="auto"/>
        <w:ind w:right="0"/>
        <w:jc w:val="right"/>
      </w:pPr>
      <w:r>
        <w:rPr>
          <w:rFonts w:ascii="Noto Sans Arabic" w:hAnsi="Noto Sans Arabic" w:eastAsia="Noto Sans Arabic" w:cs="Noto Sans Arabic"/>
          <w:b w:val="0"/>
          <w:color w:val="1F2937"/>
          <w:sz w:val="20"/>
        </w:rPr>
        <w:t>• Input validation.</w:t>
      </w:r>
    </w:p>
    <w:p>
      <w:pPr>
        <w:bidi w:val="1"/>
        <w:spacing w:after="40" w:before="0" w:line="276" w:lineRule="auto"/>
        <w:ind w:right="0"/>
        <w:jc w:val="right"/>
      </w:pPr>
      <w:r>
        <w:rPr>
          <w:rFonts w:ascii="Noto Sans Arabic" w:hAnsi="Noto Sans Arabic" w:eastAsia="Noto Sans Arabic" w:cs="Noto Sans Arabic"/>
          <w:b w:val="0"/>
          <w:color w:val="1F2937"/>
          <w:sz w:val="20"/>
        </w:rPr>
        <w:t>• SQL injection protection.</w:t>
      </w:r>
    </w:p>
    <w:p>
      <w:pPr>
        <w:bidi w:val="1"/>
        <w:spacing w:after="40" w:before="0" w:line="276" w:lineRule="auto"/>
        <w:ind w:right="0"/>
        <w:jc w:val="right"/>
      </w:pPr>
      <w:r>
        <w:rPr>
          <w:rFonts w:ascii="Noto Sans Arabic" w:hAnsi="Noto Sans Arabic" w:eastAsia="Noto Sans Arabic" w:cs="Noto Sans Arabic"/>
          <w:b w:val="0"/>
          <w:color w:val="1F2937"/>
          <w:sz w:val="20"/>
        </w:rPr>
        <w:t>• XSS protection.</w:t>
      </w:r>
    </w:p>
    <w:p>
      <w:pPr>
        <w:bidi w:val="1"/>
        <w:spacing w:after="40" w:before="0" w:line="276" w:lineRule="auto"/>
        <w:ind w:right="0"/>
        <w:jc w:val="right"/>
      </w:pPr>
      <w:r>
        <w:rPr>
          <w:rFonts w:ascii="Noto Sans Arabic" w:hAnsi="Noto Sans Arabic" w:eastAsia="Noto Sans Arabic" w:cs="Noto Sans Arabic"/>
          <w:b w:val="0"/>
          <w:color w:val="1F2937"/>
          <w:sz w:val="20"/>
        </w:rPr>
        <w:t>• CSRF عند الحاجة.</w:t>
      </w:r>
    </w:p>
    <w:p>
      <w:pPr>
        <w:bidi w:val="1"/>
        <w:spacing w:after="40" w:before="0" w:line="276" w:lineRule="auto"/>
        <w:ind w:right="0"/>
        <w:jc w:val="right"/>
      </w:pPr>
      <w:r>
        <w:rPr>
          <w:rFonts w:ascii="Noto Sans Arabic" w:hAnsi="Noto Sans Arabic" w:eastAsia="Noto Sans Arabic" w:cs="Noto Sans Arabic"/>
          <w:b w:val="0"/>
          <w:color w:val="1F2937"/>
          <w:sz w:val="20"/>
        </w:rPr>
        <w:t>• Audit logs.</w:t>
      </w:r>
    </w:p>
    <w:p>
      <w:pPr>
        <w:bidi w:val="1"/>
        <w:spacing w:after="40" w:before="0" w:line="276" w:lineRule="auto"/>
        <w:ind w:right="0"/>
        <w:jc w:val="right"/>
      </w:pPr>
      <w:r>
        <w:rPr>
          <w:rFonts w:ascii="Noto Sans Arabic" w:hAnsi="Noto Sans Arabic" w:eastAsia="Noto Sans Arabic" w:cs="Noto Sans Arabic"/>
          <w:b w:val="0"/>
          <w:color w:val="1F2937"/>
          <w:sz w:val="20"/>
        </w:rPr>
        <w:t>• Encrypted backups.</w:t>
      </w:r>
    </w:p>
    <w:p>
      <w:pPr>
        <w:bidi w:val="1"/>
        <w:spacing w:after="40" w:before="0" w:line="276" w:lineRule="auto"/>
        <w:ind w:right="0"/>
        <w:jc w:val="right"/>
      </w:pPr>
      <w:r>
        <w:rPr>
          <w:rFonts w:ascii="Noto Sans Arabic" w:hAnsi="Noto Sans Arabic" w:eastAsia="Noto Sans Arabic" w:cs="Noto Sans Arabic"/>
          <w:b w:val="0"/>
          <w:color w:val="1F2937"/>
          <w:sz w:val="20"/>
        </w:rPr>
        <w:t>• Environment variables.</w:t>
      </w:r>
    </w:p>
    <w:p>
      <w:pPr>
        <w:bidi w:val="1"/>
        <w:spacing w:after="40" w:before="0" w:line="276" w:lineRule="auto"/>
        <w:ind w:right="0"/>
        <w:jc w:val="right"/>
      </w:pPr>
      <w:r>
        <w:rPr>
          <w:rFonts w:ascii="Noto Sans Arabic" w:hAnsi="Noto Sans Arabic" w:eastAsia="Noto Sans Arabic" w:cs="Noto Sans Arabic"/>
          <w:b w:val="0"/>
          <w:color w:val="1F2937"/>
          <w:sz w:val="20"/>
        </w:rPr>
        <w:t>• عدم حفظ Secrets في GitHub.</w:t>
      </w:r>
    </w:p>
    <w:p>
      <w:pPr>
        <w:pStyle w:val="Heading2"/>
        <w:bidi w:val="1"/>
        <w:spacing w:before="160" w:after="100"/>
        <w:jc w:val="right"/>
      </w:pPr>
      <w:r>
        <w:rPr>
          <w:rFonts w:ascii="Noto Sans Arabic" w:hAnsi="Noto Sans Arabic" w:eastAsia="Noto Sans Arabic" w:cs="Noto Sans Arabic"/>
        </w:rPr>
        <w:t>30.1 حماية بيانات البحث</w:t>
      </w:r>
    </w:p>
    <w:p>
      <w:pPr>
        <w:bidi w:val="1"/>
        <w:spacing w:after="100" w:before="0" w:line="288" w:lineRule="auto"/>
        <w:jc w:val="both"/>
      </w:pPr>
      <w:r>
        <w:rPr>
          <w:rFonts w:ascii="Noto Sans Arabic" w:hAnsi="Noto Sans Arabic" w:eastAsia="Noto Sans Arabic" w:cs="Noto Sans Arabic"/>
          <w:b w:val="0"/>
          <w:color w:val="1F2937"/>
          <w:sz w:val="21"/>
        </w:rPr>
        <w:t>يُفصل PII عن Research Dataset. لا يظهر الاسم أو البريد أو الجوال افتراضيًا في ملفات التحليل، ويستخدم Participant_ID مثل P000001. تحفظ موافقة البحث بصورة صريحة وقابلة للتتبع.</w:t>
      </w:r>
    </w:p>
    <w:p>
      <w:pPr>
        <w:pStyle w:val="Heading1"/>
        <w:bidi w:val="1"/>
        <w:spacing w:before="160" w:after="160"/>
        <w:jc w:val="right"/>
      </w:pPr>
      <w:r>
        <w:rPr>
          <w:rFonts w:ascii="Noto Sans Arabic" w:hAnsi="Noto Sans Arabic" w:eastAsia="Noto Sans Arabic" w:cs="Noto Sans Arabic"/>
        </w:rPr>
        <w:t>31. طبقة الذكاء الاصطناعي</w:t>
      </w:r>
    </w:p>
    <w:p>
      <w:pPr>
        <w:bidi w:val="1"/>
        <w:spacing w:after="100" w:before="0" w:line="288" w:lineRule="auto"/>
        <w:jc w:val="both"/>
      </w:pPr>
      <w:r>
        <w:rPr>
          <w:rFonts w:ascii="Noto Sans Arabic" w:hAnsi="Noto Sans Arabic" w:eastAsia="Noto Sans Arabic" w:cs="Noto Sans Arabic"/>
          <w:b w:val="0"/>
          <w:color w:val="1F2937"/>
          <w:sz w:val="21"/>
        </w:rPr>
        <w:t>يمكن استخدام الذكاء الاصطناعي لكتابة التفسير السردي، لكن لا يُسمح له بتحديد الدرجة العلمية أو اختراع المستوى.</w:t>
      </w:r>
    </w:p>
    <w:p>
      <w:pPr>
        <w:pStyle w:val="CodeBlock"/>
        <w:spacing w:after="120"/>
        <w:ind w:left="259" w:right="259"/>
        <w:jc w:val="left"/>
        <w:shd w:fill="F2F5F7"/>
      </w:pPr>
      <w:r>
        <w:rPr>
          <w:rFonts w:ascii="DejaVu Sans" w:hAnsi="DejaVu Sans" w:eastAsia="DejaVu Sans" w:cs="DejaVu Sans"/>
          <w:b w:val="0"/>
          <w:color w:val="1F2937"/>
          <w:sz w:val="17"/>
        </w:rPr>
        <w:t>Responses</w:t>
        <w:br/>
        <w:t>↓</w:t>
        <w:br/>
        <w:t>Statistical Scoring Engine</w:t>
        <w:br/>
        <w:t>↓</w:t>
        <w:br/>
        <w:t>Diagnostic Rule Engine</w:t>
        <w:br/>
        <w:t>↓</w:t>
        <w:br/>
        <w:t>Evidence-based Recommendation Library</w:t>
        <w:br/>
        <w:t>↓</w:t>
        <w:br/>
        <w:t>Optional AI Narrative Generation</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ممنوع</w:t>
              <w:br/>
            </w:r>
            <w:r>
              <w:rPr>
                <w:rFonts w:ascii="Noto Sans Arabic" w:hAnsi="Noto Sans Arabic" w:eastAsia="Noto Sans Arabic" w:cs="Noto Sans Arabic"/>
                <w:b w:val="0"/>
                <w:color w:val="1F2937"/>
                <w:sz w:val="19"/>
              </w:rPr>
              <w:t>Answers → LLM decides maturity. يجب ألا يكون النموذج اللغوي هو محرك القياس أو المصدر الوحيد للتوصية.</w:t>
            </w:r>
          </w:p>
        </w:tc>
      </w:tr>
    </w:tbl>
    <w:p>
      <w:pPr>
        <w:pStyle w:val="Heading1"/>
        <w:bidi w:val="1"/>
        <w:spacing w:before="160" w:after="160"/>
        <w:jc w:val="right"/>
      </w:pPr>
      <w:r>
        <w:rPr>
          <w:rFonts w:ascii="Noto Sans Arabic" w:hAnsi="Noto Sans Arabic" w:eastAsia="Noto Sans Arabic" w:cs="Noto Sans Arabic"/>
        </w:rPr>
        <w:t>32. Evidence Library</w:t>
      </w:r>
    </w:p>
    <w:p>
      <w:pPr>
        <w:bidi w:val="1"/>
        <w:spacing w:after="100" w:before="0" w:line="288" w:lineRule="auto"/>
        <w:jc w:val="both"/>
      </w:pPr>
      <w:r>
        <w:rPr>
          <w:rFonts w:ascii="Noto Sans Arabic" w:hAnsi="Noto Sans Arabic" w:eastAsia="Noto Sans Arabic" w:cs="Noto Sans Arabic"/>
          <w:b w:val="0"/>
          <w:color w:val="1F2937"/>
          <w:sz w:val="21"/>
        </w:rPr>
        <w:t>يجب أن ترتبط التوصيات بمكتبة أدلة ومراجع قابلة للإدارة.</w:t>
      </w:r>
    </w:p>
    <w:p>
      <w:pPr>
        <w:pStyle w:val="CodeBlock"/>
        <w:spacing w:after="120"/>
        <w:ind w:left="259" w:right="259"/>
        <w:jc w:val="left"/>
        <w:shd w:fill="F2F5F7"/>
      </w:pPr>
      <w:r>
        <w:rPr>
          <w:rFonts w:ascii="DejaVu Sans" w:hAnsi="DejaVu Sans" w:eastAsia="DejaVu Sans" w:cs="DejaVu Sans"/>
          <w:b w:val="0"/>
          <w:color w:val="1F2937"/>
          <w:sz w:val="17"/>
        </w:rPr>
        <w:t>evidence_sources:</w:t>
        <w:br/>
        <w:t>source_id</w:t>
        <w:br/>
        <w:t>title</w:t>
        <w:br/>
        <w:t>authors</w:t>
        <w:br/>
        <w:t>year</w:t>
        <w:br/>
        <w:t>doi</w:t>
        <w:br/>
        <w:t>url</w:t>
        <w:br/>
        <w:t>dimension</w:t>
        <w:br/>
        <w:t>evidence_type</w:t>
        <w:br/>
        <w:t>notes</w:t>
      </w:r>
    </w:p>
    <w:p>
      <w:pPr>
        <w:bidi w:val="1"/>
        <w:spacing w:after="100" w:before="0" w:line="288" w:lineRule="auto"/>
        <w:jc w:val="both"/>
      </w:pPr>
      <w:r>
        <w:rPr>
          <w:rFonts w:ascii="Noto Sans Arabic" w:hAnsi="Noto Sans Arabic" w:eastAsia="Noto Sans Arabic" w:cs="Noto Sans Arabic"/>
          <w:b w:val="0"/>
          <w:color w:val="1F2937"/>
          <w:sz w:val="21"/>
        </w:rPr>
        <w:t>كل Insight يمكن أن يحمل Confidence Level: High Confidence / Moderate Confidence / Exploratory.</w:t>
      </w:r>
    </w:p>
    <w:p>
      <w:pPr>
        <w:pStyle w:val="Heading1"/>
        <w:bidi w:val="1"/>
        <w:spacing w:before="160" w:after="160"/>
        <w:jc w:val="right"/>
      </w:pPr>
      <w:r>
        <w:rPr>
          <w:rFonts w:ascii="Noto Sans Arabic" w:hAnsi="Noto Sans Arabic" w:eastAsia="Noto Sans Arabic" w:cs="Noto Sans Arabic"/>
        </w:rPr>
        <w:t>33. بنية المشروع</w:t>
      </w:r>
    </w:p>
    <w:p>
      <w:pPr>
        <w:pStyle w:val="CodeBlock"/>
        <w:spacing w:after="120"/>
        <w:ind w:left="259" w:right="259"/>
        <w:jc w:val="left"/>
        <w:shd w:fill="F2F5F7"/>
      </w:pPr>
      <w:r>
        <w:rPr>
          <w:rFonts w:ascii="DejaVu Sans" w:hAnsi="DejaVu Sans" w:eastAsia="DejaVu Sans" w:cs="DejaVu Sans"/>
          <w:b w:val="0"/>
          <w:color w:val="1F2937"/>
          <w:sz w:val="17"/>
        </w:rPr>
        <w:t>nudj-mcm/</w:t>
        <w:br/>
        <w:t>│</w:t>
        <w:br/>
        <w:t>├── frontend/</w:t>
        <w:br/>
        <w:t>│   ├── app/</w:t>
        <w:br/>
        <w:t>│   ├── components/</w:t>
        <w:br/>
        <w:t>│   ├── charts/</w:t>
        <w:br/>
        <w:t>│   ├── assessment/</w:t>
        <w:br/>
        <w:t>│   ├── dashboard/</w:t>
        <w:br/>
        <w:t>│   ├── researcher/</w:t>
        <w:br/>
        <w:t>│   └── services/</w:t>
        <w:br/>
        <w:t>│</w:t>
        <w:br/>
        <w:t>├── backend/</w:t>
        <w:br/>
        <w:t>│   ├── api/</w:t>
        <w:br/>
        <w:t>│   ├── auth/</w:t>
        <w:br/>
        <w:t>│   ├── models/</w:t>
        <w:br/>
        <w:t>│   ├── schemas/</w:t>
        <w:br/>
        <w:t>│   ├── scoring/</w:t>
        <w:br/>
        <w:t>│   ├── diagnostics/</w:t>
        <w:br/>
        <w:t>│   ├── recommendations/</w:t>
        <w:br/>
        <w:t>│   ├── benchmarks/</w:t>
        <w:br/>
        <w:t>│   ├── exports/</w:t>
        <w:br/>
        <w:t>│   ├── reports/</w:t>
        <w:br/>
        <w:t>│   └── research/</w:t>
        <w:br/>
        <w:t>│</w:t>
        <w:br/>
        <w:t>├── database/</w:t>
        <w:br/>
        <w:t>│   ├── migrations/</w:t>
        <w:br/>
        <w:t>│   └── seeds/</w:t>
        <w:br/>
        <w:t>├── tests/</w:t>
        <w:br/>
        <w:t>├── docs/</w:t>
        <w:br/>
        <w:t>├── docker-compose.yml</w:t>
        <w:br/>
        <w:t>├── .env.example</w:t>
        <w:br/>
        <w:t>└── README.md</w:t>
      </w:r>
    </w:p>
    <w:p>
      <w:pPr>
        <w:pStyle w:val="Heading1"/>
        <w:bidi w:val="1"/>
        <w:spacing w:before="160" w:after="160"/>
        <w:jc w:val="right"/>
      </w:pPr>
      <w:r>
        <w:rPr>
          <w:rFonts w:ascii="Noto Sans Arabic" w:hAnsi="Noto Sans Arabic" w:eastAsia="Noto Sans Arabic" w:cs="Noto Sans Arabic"/>
        </w:rPr>
        <w:t>34. API الأساسية</w:t>
      </w:r>
    </w:p>
    <w:p>
      <w:pPr>
        <w:pStyle w:val="CodeBlock"/>
        <w:spacing w:after="120"/>
        <w:ind w:left="259" w:right="259"/>
        <w:jc w:val="left"/>
        <w:shd w:fill="F2F5F7"/>
      </w:pPr>
      <w:r>
        <w:rPr>
          <w:rFonts w:ascii="DejaVu Sans" w:hAnsi="DejaVu Sans" w:eastAsia="DejaVu Sans" w:cs="DejaVu Sans"/>
          <w:b w:val="0"/>
          <w:color w:val="1F2937"/>
          <w:sz w:val="17"/>
        </w:rPr>
        <w:t>POST   /api/auth/register</w:t>
        <w:br/>
        <w:t>POST   /api/auth/login</w:t>
        <w:br/>
        <w:t>POST   /api/auth/refresh</w:t>
        <w:br/>
        <w:br/>
        <w:t>GET    /api/organizations</w:t>
        <w:br/>
        <w:t>POST   /api/organizations</w:t>
        <w:br/>
        <w:br/>
        <w:t>GET    /api/instruments/current</w:t>
        <w:br/>
        <w:br/>
        <w:t>POST   /api/assessments</w:t>
        <w:br/>
        <w:t>GET    /api/assessments/{id}</w:t>
        <w:br/>
        <w:t>PATCH  /api/assessments/{id}</w:t>
        <w:br/>
        <w:br/>
        <w:t>POST   /api/assessments/{id}/responses</w:t>
        <w:br/>
        <w:t>POST   /api/assessments/{id}/submit</w:t>
        <w:br/>
        <w:br/>
        <w:t>GET    /api/assessments/{id}/scores</w:t>
        <w:br/>
        <w:t>GET    /api/assessments/{id}/diagnostics</w:t>
        <w:br/>
        <w:t>GET    /api/assessments/{id}/recommendations</w:t>
        <w:br/>
        <w:t>GET    /api/assessments/{id}/roadmap</w:t>
        <w:br/>
        <w:t>GET    /api/assessments/{id}/benchmark</w:t>
        <w:br/>
        <w:br/>
        <w:t>GET    /api/reports/{id}/pdf</w:t>
        <w:br/>
        <w:br/>
        <w:t>GET    /api/research/dataset</w:t>
        <w:br/>
        <w:t>GET    /api/research/export/excel</w:t>
        <w:br/>
        <w:t>GET    /api/research/export/spss</w:t>
        <w:br/>
        <w:t>GET    /api/research/codebook</w:t>
      </w:r>
    </w:p>
    <w:p>
      <w:pPr>
        <w:pStyle w:val="Heading1"/>
        <w:bidi w:val="1"/>
        <w:spacing w:before="160" w:after="160"/>
        <w:jc w:val="right"/>
      </w:pPr>
      <w:r>
        <w:rPr>
          <w:rFonts w:ascii="Noto Sans Arabic" w:hAnsi="Noto Sans Arabic" w:eastAsia="Noto Sans Arabic" w:cs="Noto Sans Arabic"/>
        </w:rPr>
        <w:t>35. الاختبارات المطلوبة</w:t>
      </w:r>
    </w:p>
    <w:p>
      <w:pPr>
        <w:pStyle w:val="Heading2"/>
        <w:bidi w:val="1"/>
        <w:spacing w:before="160" w:after="100"/>
        <w:jc w:val="right"/>
      </w:pPr>
      <w:r>
        <w:rPr>
          <w:rFonts w:ascii="Noto Sans Arabic" w:hAnsi="Noto Sans Arabic" w:eastAsia="Noto Sans Arabic" w:cs="Noto Sans Arabic"/>
        </w:rPr>
        <w:t>35.1 Scoring Tests</w:t>
      </w:r>
    </w:p>
    <w:p>
      <w:pPr>
        <w:bidi w:val="1"/>
        <w:spacing w:after="40" w:before="0" w:line="276" w:lineRule="auto"/>
        <w:ind w:right="0"/>
        <w:jc w:val="right"/>
      </w:pPr>
      <w:r>
        <w:rPr>
          <w:rFonts w:ascii="Noto Sans Arabic" w:hAnsi="Noto Sans Arabic" w:eastAsia="Noto Sans Arabic" w:cs="Noto Sans Arabic"/>
          <w:b w:val="0"/>
          <w:color w:val="1F2937"/>
          <w:sz w:val="20"/>
        </w:rPr>
        <w:t>• Likert normalization</w:t>
      </w:r>
    </w:p>
    <w:p>
      <w:pPr>
        <w:bidi w:val="1"/>
        <w:spacing w:after="40" w:before="0" w:line="276" w:lineRule="auto"/>
        <w:ind w:right="0"/>
        <w:jc w:val="right"/>
      </w:pPr>
      <w:r>
        <w:rPr>
          <w:rFonts w:ascii="Noto Sans Arabic" w:hAnsi="Noto Sans Arabic" w:eastAsia="Noto Sans Arabic" w:cs="Noto Sans Arabic"/>
          <w:b w:val="0"/>
          <w:color w:val="1F2937"/>
          <w:sz w:val="20"/>
        </w:rPr>
        <w:t>• Reverse scoring</w:t>
      </w:r>
    </w:p>
    <w:p>
      <w:pPr>
        <w:bidi w:val="1"/>
        <w:spacing w:after="40" w:before="0" w:line="276" w:lineRule="auto"/>
        <w:ind w:right="0"/>
        <w:jc w:val="right"/>
      </w:pPr>
      <w:r>
        <w:rPr>
          <w:rFonts w:ascii="Noto Sans Arabic" w:hAnsi="Noto Sans Arabic" w:eastAsia="Noto Sans Arabic" w:cs="Noto Sans Arabic"/>
          <w:b w:val="0"/>
          <w:color w:val="1F2937"/>
          <w:sz w:val="20"/>
        </w:rPr>
        <w:t>• Dimension score</w:t>
      </w:r>
    </w:p>
    <w:p>
      <w:pPr>
        <w:bidi w:val="1"/>
        <w:spacing w:after="40" w:before="0" w:line="276" w:lineRule="auto"/>
        <w:ind w:right="0"/>
        <w:jc w:val="right"/>
      </w:pPr>
      <w:r>
        <w:rPr>
          <w:rFonts w:ascii="Noto Sans Arabic" w:hAnsi="Noto Sans Arabic" w:eastAsia="Noto Sans Arabic" w:cs="Noto Sans Arabic"/>
          <w:b w:val="0"/>
          <w:color w:val="1F2937"/>
          <w:sz w:val="20"/>
        </w:rPr>
        <w:t>• Overall MCM</w:t>
      </w:r>
    </w:p>
    <w:p>
      <w:pPr>
        <w:bidi w:val="1"/>
        <w:spacing w:after="40" w:before="0" w:line="276" w:lineRule="auto"/>
        <w:ind w:right="0"/>
        <w:jc w:val="right"/>
      </w:pPr>
      <w:r>
        <w:rPr>
          <w:rFonts w:ascii="Noto Sans Arabic" w:hAnsi="Noto Sans Arabic" w:eastAsia="Noto Sans Arabic" w:cs="Noto Sans Arabic"/>
          <w:b w:val="0"/>
          <w:color w:val="1F2937"/>
          <w:sz w:val="20"/>
        </w:rPr>
        <w:t>• SMCE</w:t>
      </w:r>
    </w:p>
    <w:p>
      <w:pPr>
        <w:bidi w:val="1"/>
        <w:spacing w:after="40" w:before="0" w:line="276" w:lineRule="auto"/>
        <w:ind w:right="0"/>
        <w:jc w:val="right"/>
      </w:pPr>
      <w:r>
        <w:rPr>
          <w:rFonts w:ascii="Noto Sans Arabic" w:hAnsi="Noto Sans Arabic" w:eastAsia="Noto Sans Arabic" w:cs="Noto Sans Arabic"/>
          <w:b w:val="0"/>
          <w:color w:val="1F2937"/>
          <w:sz w:val="20"/>
        </w:rPr>
        <w:t>• Missing values</w:t>
      </w:r>
    </w:p>
    <w:p>
      <w:pPr>
        <w:bidi w:val="1"/>
        <w:spacing w:after="40" w:before="0" w:line="276" w:lineRule="auto"/>
        <w:ind w:right="0"/>
        <w:jc w:val="right"/>
      </w:pPr>
      <w:r>
        <w:rPr>
          <w:rFonts w:ascii="Noto Sans Arabic" w:hAnsi="Noto Sans Arabic" w:eastAsia="Noto Sans Arabic" w:cs="Noto Sans Arabic"/>
          <w:b w:val="0"/>
          <w:color w:val="1F2937"/>
          <w:sz w:val="20"/>
        </w:rPr>
        <w:t>• Weights</w:t>
      </w:r>
    </w:p>
    <w:p>
      <w:pPr>
        <w:pStyle w:val="Heading2"/>
        <w:bidi w:val="1"/>
        <w:spacing w:before="160" w:after="100"/>
        <w:jc w:val="right"/>
      </w:pPr>
      <w:r>
        <w:rPr>
          <w:rFonts w:ascii="Noto Sans Arabic" w:hAnsi="Noto Sans Arabic" w:eastAsia="Noto Sans Arabic" w:cs="Noto Sans Arabic"/>
        </w:rPr>
        <w:t>35.2 اختبارات إضافية</w:t>
      </w:r>
    </w:p>
    <w:p>
      <w:pPr>
        <w:bidi w:val="1"/>
        <w:spacing w:after="40" w:before="0" w:line="276" w:lineRule="auto"/>
        <w:ind w:right="0"/>
        <w:jc w:val="right"/>
      </w:pPr>
      <w:r>
        <w:rPr>
          <w:rFonts w:ascii="Noto Sans Arabic" w:hAnsi="Noto Sans Arabic" w:eastAsia="Noto Sans Arabic" w:cs="Noto Sans Arabic"/>
          <w:b w:val="0"/>
          <w:color w:val="1F2937"/>
          <w:sz w:val="20"/>
        </w:rPr>
        <w:t>• Authentication tests</w:t>
      </w:r>
    </w:p>
    <w:p>
      <w:pPr>
        <w:bidi w:val="1"/>
        <w:spacing w:after="40" w:before="0" w:line="276" w:lineRule="auto"/>
        <w:ind w:right="0"/>
        <w:jc w:val="right"/>
      </w:pPr>
      <w:r>
        <w:rPr>
          <w:rFonts w:ascii="Noto Sans Arabic" w:hAnsi="Noto Sans Arabic" w:eastAsia="Noto Sans Arabic" w:cs="Noto Sans Arabic"/>
          <w:b w:val="0"/>
          <w:color w:val="1F2937"/>
          <w:sz w:val="20"/>
        </w:rPr>
        <w:t>• Permission / RBAC tests</w:t>
      </w:r>
    </w:p>
    <w:p>
      <w:pPr>
        <w:bidi w:val="1"/>
        <w:spacing w:after="40" w:before="0" w:line="276" w:lineRule="auto"/>
        <w:ind w:right="0"/>
        <w:jc w:val="right"/>
      </w:pPr>
      <w:r>
        <w:rPr>
          <w:rFonts w:ascii="Noto Sans Arabic" w:hAnsi="Noto Sans Arabic" w:eastAsia="Noto Sans Arabic" w:cs="Noto Sans Arabic"/>
          <w:b w:val="0"/>
          <w:color w:val="1F2937"/>
          <w:sz w:val="20"/>
        </w:rPr>
        <w:t>• API tests</w:t>
      </w:r>
    </w:p>
    <w:p>
      <w:pPr>
        <w:bidi w:val="1"/>
        <w:spacing w:after="40" w:before="0" w:line="276" w:lineRule="auto"/>
        <w:ind w:right="0"/>
        <w:jc w:val="right"/>
      </w:pPr>
      <w:r>
        <w:rPr>
          <w:rFonts w:ascii="Noto Sans Arabic" w:hAnsi="Noto Sans Arabic" w:eastAsia="Noto Sans Arabic" w:cs="Noto Sans Arabic"/>
          <w:b w:val="0"/>
          <w:color w:val="1F2937"/>
          <w:sz w:val="20"/>
        </w:rPr>
        <w:t>• Assessment autosave tests</w:t>
      </w:r>
    </w:p>
    <w:p>
      <w:pPr>
        <w:bidi w:val="1"/>
        <w:spacing w:after="40" w:before="0" w:line="276" w:lineRule="auto"/>
        <w:ind w:right="0"/>
        <w:jc w:val="right"/>
      </w:pPr>
      <w:r>
        <w:rPr>
          <w:rFonts w:ascii="Noto Sans Arabic" w:hAnsi="Noto Sans Arabic" w:eastAsia="Noto Sans Arabic" w:cs="Noto Sans Arabic"/>
          <w:b w:val="0"/>
          <w:color w:val="1F2937"/>
          <w:sz w:val="20"/>
        </w:rPr>
        <w:t>• Instrument versioning tests</w:t>
      </w:r>
    </w:p>
    <w:p>
      <w:pPr>
        <w:bidi w:val="1"/>
        <w:spacing w:after="40" w:before="0" w:line="276" w:lineRule="auto"/>
        <w:ind w:right="0"/>
        <w:jc w:val="right"/>
      </w:pPr>
      <w:r>
        <w:rPr>
          <w:rFonts w:ascii="Noto Sans Arabic" w:hAnsi="Noto Sans Arabic" w:eastAsia="Noto Sans Arabic" w:cs="Noto Sans Arabic"/>
          <w:b w:val="0"/>
          <w:color w:val="1F2937"/>
          <w:sz w:val="20"/>
        </w:rPr>
        <w:t>• Diagnostic rules tests</w:t>
      </w:r>
    </w:p>
    <w:p>
      <w:pPr>
        <w:bidi w:val="1"/>
        <w:spacing w:after="40" w:before="0" w:line="276" w:lineRule="auto"/>
        <w:ind w:right="0"/>
        <w:jc w:val="right"/>
      </w:pPr>
      <w:r>
        <w:rPr>
          <w:rFonts w:ascii="Noto Sans Arabic" w:hAnsi="Noto Sans Arabic" w:eastAsia="Noto Sans Arabic" w:cs="Noto Sans Arabic"/>
          <w:b w:val="0"/>
          <w:color w:val="1F2937"/>
          <w:sz w:val="20"/>
        </w:rPr>
        <w:t>• Excel export tests</w:t>
      </w:r>
    </w:p>
    <w:p>
      <w:pPr>
        <w:bidi w:val="1"/>
        <w:spacing w:after="40" w:before="0" w:line="276" w:lineRule="auto"/>
        <w:ind w:right="0"/>
        <w:jc w:val="right"/>
      </w:pPr>
      <w:r>
        <w:rPr>
          <w:rFonts w:ascii="Noto Sans Arabic" w:hAnsi="Noto Sans Arabic" w:eastAsia="Noto Sans Arabic" w:cs="Noto Sans Arabic"/>
          <w:b w:val="0"/>
          <w:color w:val="1F2937"/>
          <w:sz w:val="20"/>
        </w:rPr>
        <w:t>• SPSS export tests</w:t>
      </w:r>
    </w:p>
    <w:p>
      <w:pPr>
        <w:bidi w:val="1"/>
        <w:spacing w:after="40" w:before="0" w:line="276" w:lineRule="auto"/>
        <w:ind w:right="0"/>
        <w:jc w:val="right"/>
      </w:pPr>
      <w:r>
        <w:rPr>
          <w:rFonts w:ascii="Noto Sans Arabic" w:hAnsi="Noto Sans Arabic" w:eastAsia="Noto Sans Arabic" w:cs="Noto Sans Arabic"/>
          <w:b w:val="0"/>
          <w:color w:val="1F2937"/>
          <w:sz w:val="20"/>
        </w:rPr>
        <w:t>• Security tests</w:t>
      </w:r>
    </w:p>
    <w:p>
      <w:pPr>
        <w:pStyle w:val="Heading1"/>
        <w:bidi w:val="1"/>
        <w:spacing w:before="160" w:after="160"/>
        <w:jc w:val="right"/>
      </w:pPr>
      <w:r>
        <w:rPr>
          <w:rFonts w:ascii="Noto Sans Arabic" w:hAnsi="Noto Sans Arabic" w:eastAsia="Noto Sans Arabic" w:cs="Noto Sans Arabic"/>
        </w:rPr>
        <w:t>36. Acceptance Criteria</w:t>
      </w:r>
    </w:p>
    <w:p>
      <w:pPr>
        <w:bidi w:val="1"/>
        <w:spacing w:after="40" w:before="0" w:line="276" w:lineRule="auto"/>
        <w:ind w:right="0"/>
        <w:jc w:val="right"/>
      </w:pPr>
      <w:r>
        <w:rPr>
          <w:rFonts w:ascii="Noto Sans Arabic" w:hAnsi="Noto Sans Arabic" w:eastAsia="Noto Sans Arabic" w:cs="Noto Sans Arabic"/>
          <w:b w:val="0"/>
          <w:color w:val="1F2937"/>
          <w:sz w:val="20"/>
        </w:rPr>
        <w:t>• يمكن إنشاء شركة وحساب مستخدم.</w:t>
      </w:r>
    </w:p>
    <w:p>
      <w:pPr>
        <w:bidi w:val="1"/>
        <w:spacing w:after="40" w:before="0" w:line="276" w:lineRule="auto"/>
        <w:ind w:right="0"/>
        <w:jc w:val="right"/>
      </w:pPr>
      <w:r>
        <w:rPr>
          <w:rFonts w:ascii="Noto Sans Arabic" w:hAnsi="Noto Sans Arabic" w:eastAsia="Noto Sans Arabic" w:cs="Noto Sans Arabic"/>
          <w:b w:val="0"/>
          <w:color w:val="1F2937"/>
          <w:sz w:val="20"/>
        </w:rPr>
        <w:t>• يمكن بدء Assessment وحفظ الإجابات واستكمالها.</w:t>
      </w:r>
    </w:p>
    <w:p>
      <w:pPr>
        <w:bidi w:val="1"/>
        <w:spacing w:after="40" w:before="0" w:line="276" w:lineRule="auto"/>
        <w:ind w:right="0"/>
        <w:jc w:val="right"/>
      </w:pPr>
      <w:r>
        <w:rPr>
          <w:rFonts w:ascii="Noto Sans Arabic" w:hAnsi="Noto Sans Arabic" w:eastAsia="Noto Sans Arabic" w:cs="Noto Sans Arabic"/>
          <w:b w:val="0"/>
          <w:color w:val="1F2937"/>
          <w:sz w:val="20"/>
        </w:rPr>
        <w:t>• يمكن تغيير Instrument دون تعديل الكود.</w:t>
      </w:r>
    </w:p>
    <w:p>
      <w:pPr>
        <w:bidi w:val="1"/>
        <w:spacing w:after="40" w:before="0" w:line="276" w:lineRule="auto"/>
        <w:ind w:right="0"/>
        <w:jc w:val="right"/>
      </w:pPr>
      <w:r>
        <w:rPr>
          <w:rFonts w:ascii="Noto Sans Arabic" w:hAnsi="Noto Sans Arabic" w:eastAsia="Noto Sans Arabic" w:cs="Noto Sans Arabic"/>
          <w:b w:val="0"/>
          <w:color w:val="1F2937"/>
          <w:sz w:val="20"/>
        </w:rPr>
        <w:t>• يحسب كل Dimension بصورة صحيحة.</w:t>
      </w:r>
    </w:p>
    <w:p>
      <w:pPr>
        <w:bidi w:val="1"/>
        <w:spacing w:after="40" w:before="0" w:line="276" w:lineRule="auto"/>
        <w:ind w:right="0"/>
        <w:jc w:val="right"/>
      </w:pPr>
      <w:r>
        <w:rPr>
          <w:rFonts w:ascii="Noto Sans Arabic" w:hAnsi="Noto Sans Arabic" w:eastAsia="Noto Sans Arabic" w:cs="Noto Sans Arabic"/>
          <w:b w:val="0"/>
          <w:color w:val="1F2937"/>
          <w:sz w:val="20"/>
        </w:rPr>
        <w:t>• يحسب MCM مستقلًا.</w:t>
      </w:r>
    </w:p>
    <w:p>
      <w:pPr>
        <w:bidi w:val="1"/>
        <w:spacing w:after="40" w:before="0" w:line="276" w:lineRule="auto"/>
        <w:ind w:right="0"/>
        <w:jc w:val="right"/>
      </w:pPr>
      <w:r>
        <w:rPr>
          <w:rFonts w:ascii="Noto Sans Arabic" w:hAnsi="Noto Sans Arabic" w:eastAsia="Noto Sans Arabic" w:cs="Noto Sans Arabic"/>
          <w:b w:val="0"/>
          <w:color w:val="1F2937"/>
          <w:sz w:val="20"/>
        </w:rPr>
        <w:t>• يحسب SMCE مستقلًا.</w:t>
      </w:r>
    </w:p>
    <w:p>
      <w:pPr>
        <w:bidi w:val="1"/>
        <w:spacing w:after="40" w:before="0" w:line="276" w:lineRule="auto"/>
        <w:ind w:right="0"/>
        <w:jc w:val="right"/>
      </w:pPr>
      <w:r>
        <w:rPr>
          <w:rFonts w:ascii="Noto Sans Arabic" w:hAnsi="Noto Sans Arabic" w:eastAsia="Noto Sans Arabic" w:cs="Noto Sans Arabic"/>
          <w:b w:val="0"/>
          <w:color w:val="1F2937"/>
          <w:sz w:val="20"/>
        </w:rPr>
        <w:t>• يحدد مستوى النضج من جدول Configurable.</w:t>
      </w:r>
    </w:p>
    <w:p>
      <w:pPr>
        <w:bidi w:val="1"/>
        <w:spacing w:after="40" w:before="0" w:line="276" w:lineRule="auto"/>
        <w:ind w:right="0"/>
        <w:jc w:val="right"/>
      </w:pPr>
      <w:r>
        <w:rPr>
          <w:rFonts w:ascii="Noto Sans Arabic" w:hAnsi="Noto Sans Arabic" w:eastAsia="Noto Sans Arabic" w:cs="Noto Sans Arabic"/>
          <w:b w:val="0"/>
          <w:color w:val="1F2937"/>
          <w:sz w:val="20"/>
        </w:rPr>
        <w:t>• ينتج Diagnosis وPriorities وRoadmap.</w:t>
      </w:r>
    </w:p>
    <w:p>
      <w:pPr>
        <w:bidi w:val="1"/>
        <w:spacing w:after="40" w:before="0" w:line="276" w:lineRule="auto"/>
        <w:ind w:right="0"/>
        <w:jc w:val="right"/>
      </w:pPr>
      <w:r>
        <w:rPr>
          <w:rFonts w:ascii="Noto Sans Arabic" w:hAnsi="Noto Sans Arabic" w:eastAsia="Noto Sans Arabic" w:cs="Noto Sans Arabic"/>
          <w:b w:val="0"/>
          <w:color w:val="1F2937"/>
          <w:sz w:val="20"/>
        </w:rPr>
        <w:t>• يعرض Benchmark عند تحقق شرط حجم العينة.</w:t>
      </w:r>
    </w:p>
    <w:p>
      <w:pPr>
        <w:bidi w:val="1"/>
        <w:spacing w:after="40" w:before="0" w:line="276" w:lineRule="auto"/>
        <w:ind w:right="0"/>
        <w:jc w:val="right"/>
      </w:pPr>
      <w:r>
        <w:rPr>
          <w:rFonts w:ascii="Noto Sans Arabic" w:hAnsi="Noto Sans Arabic" w:eastAsia="Noto Sans Arabic" w:cs="Noto Sans Arabic"/>
          <w:b w:val="0"/>
          <w:color w:val="1F2937"/>
          <w:sz w:val="20"/>
        </w:rPr>
        <w:t>• ينتج PDF تنفيذي.</w:t>
      </w:r>
    </w:p>
    <w:p>
      <w:pPr>
        <w:bidi w:val="1"/>
        <w:spacing w:after="40" w:before="0" w:line="276" w:lineRule="auto"/>
        <w:ind w:right="0"/>
        <w:jc w:val="right"/>
      </w:pPr>
      <w:r>
        <w:rPr>
          <w:rFonts w:ascii="Noto Sans Arabic" w:hAnsi="Noto Sans Arabic" w:eastAsia="Noto Sans Arabic" w:cs="Noto Sans Arabic"/>
          <w:b w:val="0"/>
          <w:color w:val="1F2937"/>
          <w:sz w:val="20"/>
        </w:rPr>
        <w:t>• الباحث يستطيع تحميل Excel وSPSS وCodebook.</w:t>
      </w:r>
    </w:p>
    <w:p>
      <w:pPr>
        <w:bidi w:val="1"/>
        <w:spacing w:after="40" w:before="0" w:line="276" w:lineRule="auto"/>
        <w:ind w:right="0"/>
        <w:jc w:val="right"/>
      </w:pPr>
      <w:r>
        <w:rPr>
          <w:rFonts w:ascii="Noto Sans Arabic" w:hAnsi="Noto Sans Arabic" w:eastAsia="Noto Sans Arabic" w:cs="Noto Sans Arabic"/>
          <w:b w:val="0"/>
          <w:color w:val="1F2937"/>
          <w:sz w:val="20"/>
        </w:rPr>
        <w:t>• يوجد Instrument Versioning.</w:t>
      </w:r>
    </w:p>
    <w:p>
      <w:pPr>
        <w:bidi w:val="1"/>
        <w:spacing w:after="40" w:before="0" w:line="276" w:lineRule="auto"/>
        <w:ind w:right="0"/>
        <w:jc w:val="right"/>
      </w:pPr>
      <w:r>
        <w:rPr>
          <w:rFonts w:ascii="Noto Sans Arabic" w:hAnsi="Noto Sans Arabic" w:eastAsia="Noto Sans Arabic" w:cs="Noto Sans Arabic"/>
          <w:b w:val="0"/>
          <w:color w:val="1F2937"/>
          <w:sz w:val="20"/>
        </w:rPr>
        <w:t>• البيانات التجريبية منفصلة عن الحقيقية.</w:t>
      </w:r>
    </w:p>
    <w:p>
      <w:pPr>
        <w:bidi w:val="1"/>
        <w:spacing w:after="40" w:before="0" w:line="276" w:lineRule="auto"/>
        <w:ind w:right="0"/>
        <w:jc w:val="right"/>
      </w:pPr>
      <w:r>
        <w:rPr>
          <w:rFonts w:ascii="Noto Sans Arabic" w:hAnsi="Noto Sans Arabic" w:eastAsia="Noto Sans Arabic" w:cs="Noto Sans Arabic"/>
          <w:b w:val="0"/>
          <w:color w:val="1F2937"/>
          <w:sz w:val="20"/>
        </w:rPr>
        <w:t>• صلاحيات المستخدمين تعمل.</w:t>
      </w:r>
    </w:p>
    <w:p>
      <w:pPr>
        <w:bidi w:val="1"/>
        <w:spacing w:after="40" w:before="0" w:line="276" w:lineRule="auto"/>
        <w:ind w:right="0"/>
        <w:jc w:val="right"/>
      </w:pPr>
      <w:r>
        <w:rPr>
          <w:rFonts w:ascii="Noto Sans Arabic" w:hAnsi="Noto Sans Arabic" w:eastAsia="Noto Sans Arabic" w:cs="Noto Sans Arabic"/>
          <w:b w:val="0"/>
          <w:color w:val="1F2937"/>
          <w:sz w:val="20"/>
        </w:rPr>
        <w:t>• العربية RTL صحيحة والواجهة Responsive.</w:t>
      </w:r>
    </w:p>
    <w:p>
      <w:pPr>
        <w:bidi w:val="1"/>
        <w:spacing w:after="40" w:before="0" w:line="276" w:lineRule="auto"/>
        <w:ind w:right="0"/>
        <w:jc w:val="right"/>
      </w:pPr>
      <w:r>
        <w:rPr>
          <w:rFonts w:ascii="Noto Sans Arabic" w:hAnsi="Noto Sans Arabic" w:eastAsia="Noto Sans Arabic" w:cs="Noto Sans Arabic"/>
          <w:b w:val="0"/>
          <w:color w:val="1F2937"/>
          <w:sz w:val="20"/>
        </w:rPr>
        <w:t>• جميع الاختبارات المطلوبة Pass.</w:t>
      </w:r>
    </w:p>
    <w:p>
      <w:pPr>
        <w:pStyle w:val="Heading1"/>
        <w:bidi w:val="1"/>
        <w:spacing w:before="160" w:after="160"/>
        <w:jc w:val="right"/>
      </w:pPr>
      <w:r>
        <w:rPr>
          <w:rFonts w:ascii="Noto Sans Arabic" w:hAnsi="Noto Sans Arabic" w:eastAsia="Noto Sans Arabic" w:cs="Noto Sans Arabic"/>
        </w:rPr>
        <w:t>37. خطة التنفيذ المرحلية</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016"/>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المرحلة</w:t>
            </w:r>
          </w:p>
        </w:tc>
        <w:tc>
          <w:tcPr>
            <w:tcW w:type="dxa" w:w="7776"/>
            <w:shd w:fill="0D2B36"/>
            <w:tcMar>
              <w:top w:w="100" w:type="dxa"/>
              <w:start w:w="120" w:type="dxa"/>
              <w:bottom w:w="100" w:type="dxa"/>
              <w:end w:w="120" w:type="dxa"/>
            </w:tcMar>
            <w:vAlign w:val="center"/>
          </w:tcPr>
          <w:p>
            <w:pPr>
              <w:bidi w:val="1"/>
              <w:jc w:val="center"/>
            </w:pPr>
            <w:r>
              <w:rPr>
                <w:rFonts w:ascii="Noto Sans Arabic" w:hAnsi="Noto Sans Arabic" w:eastAsia="Noto Sans Arabic" w:cs="Noto Sans Arabic"/>
                <w:b/>
                <w:color w:val="FFFFFF"/>
                <w:sz w:val="18"/>
              </w:rPr>
              <w:t>النطاق</w:t>
            </w:r>
          </w:p>
        </w:tc>
      </w:tr>
      <w:tr>
        <w:trPr>
          <w:cantSplit/>
        </w:trPr>
        <w:tc>
          <w:tcPr>
            <w:tcW w:type="dxa" w:w="201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1</w:t>
            </w:r>
          </w:p>
        </w:tc>
        <w:tc>
          <w:tcPr>
            <w:tcW w:type="dxa" w:w="777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Project architecture and database schema.</w:t>
            </w:r>
          </w:p>
        </w:tc>
      </w:tr>
      <w:tr>
        <w:trPr>
          <w:cantSplit/>
        </w:trPr>
        <w:tc>
          <w:tcPr>
            <w:tcW w:type="dxa" w:w="201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2</w:t>
            </w:r>
          </w:p>
        </w:tc>
        <w:tc>
          <w:tcPr>
            <w:tcW w:type="dxa" w:w="777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Authentication and organisation management.</w:t>
            </w:r>
          </w:p>
        </w:tc>
      </w:tr>
      <w:tr>
        <w:trPr>
          <w:cantSplit/>
        </w:trPr>
        <w:tc>
          <w:tcPr>
            <w:tcW w:type="dxa" w:w="201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3</w:t>
            </w:r>
          </w:p>
        </w:tc>
        <w:tc>
          <w:tcPr>
            <w:tcW w:type="dxa" w:w="777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Instrument management.</w:t>
            </w:r>
          </w:p>
        </w:tc>
      </w:tr>
      <w:tr>
        <w:trPr>
          <w:cantSplit/>
        </w:trPr>
        <w:tc>
          <w:tcPr>
            <w:tcW w:type="dxa" w:w="201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4</w:t>
            </w:r>
          </w:p>
        </w:tc>
        <w:tc>
          <w:tcPr>
            <w:tcW w:type="dxa" w:w="777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Assessment engine.</w:t>
            </w:r>
          </w:p>
        </w:tc>
      </w:tr>
      <w:tr>
        <w:trPr>
          <w:cantSplit/>
        </w:trPr>
        <w:tc>
          <w:tcPr>
            <w:tcW w:type="dxa" w:w="201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5</w:t>
            </w:r>
          </w:p>
        </w:tc>
        <w:tc>
          <w:tcPr>
            <w:tcW w:type="dxa" w:w="777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Scoring engine.</w:t>
            </w:r>
          </w:p>
        </w:tc>
      </w:tr>
      <w:tr>
        <w:trPr>
          <w:cantSplit/>
        </w:trPr>
        <w:tc>
          <w:tcPr>
            <w:tcW w:type="dxa" w:w="201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6</w:t>
            </w:r>
          </w:p>
        </w:tc>
        <w:tc>
          <w:tcPr>
            <w:tcW w:type="dxa" w:w="777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Results dashboard.</w:t>
            </w:r>
          </w:p>
        </w:tc>
      </w:tr>
      <w:tr>
        <w:trPr>
          <w:cantSplit/>
        </w:trPr>
        <w:tc>
          <w:tcPr>
            <w:tcW w:type="dxa" w:w="201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7</w:t>
            </w:r>
          </w:p>
        </w:tc>
        <w:tc>
          <w:tcPr>
            <w:tcW w:type="dxa" w:w="777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Diagnostic and recommendations engine.</w:t>
            </w:r>
          </w:p>
        </w:tc>
      </w:tr>
      <w:tr>
        <w:trPr>
          <w:cantSplit/>
        </w:trPr>
        <w:tc>
          <w:tcPr>
            <w:tcW w:type="dxa" w:w="201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8</w:t>
            </w:r>
          </w:p>
        </w:tc>
        <w:tc>
          <w:tcPr>
            <w:tcW w:type="dxa" w:w="777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Researcher console.</w:t>
            </w:r>
          </w:p>
        </w:tc>
      </w:tr>
      <w:tr>
        <w:trPr>
          <w:cantSplit/>
        </w:trPr>
        <w:tc>
          <w:tcPr>
            <w:tcW w:type="dxa" w:w="201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9</w:t>
            </w:r>
          </w:p>
        </w:tc>
        <w:tc>
          <w:tcPr>
            <w:tcW w:type="dxa" w:w="777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Excel/SPSS export.</w:t>
            </w:r>
          </w:p>
        </w:tc>
      </w:tr>
      <w:tr>
        <w:trPr>
          <w:cantSplit/>
        </w:trPr>
        <w:tc>
          <w:tcPr>
            <w:tcW w:type="dxa" w:w="201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10</w:t>
            </w:r>
          </w:p>
        </w:tc>
        <w:tc>
          <w:tcPr>
            <w:tcW w:type="dxa" w:w="777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PDF reporting.</w:t>
            </w:r>
          </w:p>
        </w:tc>
      </w:tr>
      <w:tr>
        <w:trPr>
          <w:cantSplit/>
        </w:trPr>
        <w:tc>
          <w:tcPr>
            <w:tcW w:type="dxa" w:w="201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11</w:t>
            </w:r>
          </w:p>
        </w:tc>
        <w:tc>
          <w:tcPr>
            <w:tcW w:type="dxa" w:w="7776"/>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Benchmarking and reassessment.</w:t>
            </w:r>
          </w:p>
        </w:tc>
      </w:tr>
      <w:tr>
        <w:trPr>
          <w:cantSplit/>
        </w:trPr>
        <w:tc>
          <w:tcPr>
            <w:tcW w:type="dxa" w:w="201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Phase 12</w:t>
            </w:r>
          </w:p>
        </w:tc>
        <w:tc>
          <w:tcPr>
            <w:tcW w:type="dxa" w:w="7776"/>
            <w:shd w:fill="F8FAFB"/>
            <w:tcMar>
              <w:top w:w="100" w:type="dxa"/>
              <w:start w:w="120" w:type="dxa"/>
              <w:bottom w:w="100" w:type="dxa"/>
              <w:end w:w="120" w:type="dxa"/>
            </w:tcMar>
            <w:vAlign w:val="center"/>
          </w:tcPr>
          <w:p>
            <w:pPr>
              <w:bidi w:val="1"/>
              <w:jc w:val="right"/>
            </w:pPr>
            <w:r>
              <w:rPr>
                <w:rFonts w:ascii="Noto Sans Arabic" w:hAnsi="Noto Sans Arabic" w:eastAsia="Noto Sans Arabic" w:cs="Noto Sans Arabic"/>
                <w:b w:val="0"/>
                <w:color w:val="1F2937"/>
                <w:sz w:val="17"/>
              </w:rPr>
              <w:t>Testing, security hardening and Docker deployment.</w:t>
            </w:r>
          </w:p>
        </w:tc>
      </w:tr>
    </w:tbl>
    <w:p>
      <w:pPr>
        <w:spacing w:after="40"/>
      </w:pPr>
    </w:p>
    <w:p>
      <w:pPr>
        <w:bidi w:val="1"/>
        <w:spacing w:after="100" w:before="0" w:line="288" w:lineRule="auto"/>
        <w:jc w:val="both"/>
      </w:pPr>
      <w:r>
        <w:rPr>
          <w:rFonts w:ascii="Noto Sans Arabic" w:hAnsi="Noto Sans Arabic" w:eastAsia="Noto Sans Arabic" w:cs="Noto Sans Arabic"/>
          <w:b w:val="0"/>
          <w:color w:val="1F2937"/>
          <w:sz w:val="21"/>
        </w:rPr>
        <w:t>بعد كل مرحلة: تشغيل الاختبارات، إصلاح الأخطاء، وعدم الانتقال إلى المرحلة التالية قبل نجاح المرحلة الحالية.</w:t>
      </w:r>
    </w:p>
    <w:p>
      <w:pPr>
        <w:pStyle w:val="Heading1"/>
        <w:bidi w:val="1"/>
        <w:spacing w:before="160" w:after="160"/>
        <w:jc w:val="right"/>
      </w:pPr>
      <w:r>
        <w:rPr>
          <w:rFonts w:ascii="Noto Sans Arabic" w:hAnsi="Noto Sans Arabic" w:eastAsia="Noto Sans Arabic" w:cs="Noto Sans Arabic"/>
        </w:rPr>
        <w:t>38. Prompt جاهز لـ Visual Studio / Copilot</w:t>
      </w:r>
    </w:p>
    <w:p>
      <w:pPr>
        <w:bidi w:val="1"/>
        <w:spacing w:after="100" w:before="0" w:line="288" w:lineRule="auto"/>
        <w:jc w:val="both"/>
      </w:pPr>
      <w:r>
        <w:rPr>
          <w:rFonts w:ascii="Noto Sans Arabic" w:hAnsi="Noto Sans Arabic" w:eastAsia="Noto Sans Arabic" w:cs="Noto Sans Arabic"/>
          <w:b w:val="0"/>
          <w:color w:val="1F2937"/>
          <w:sz w:val="21"/>
        </w:rPr>
        <w:t>يُنسخ النص التالي كموجه أول للمشروع حتى يعمل المبرمج أو Copilot وفق المعمار المحدد:</w:t>
      </w:r>
    </w:p>
    <w:p>
      <w:pPr>
        <w:pStyle w:val="CodeBlock"/>
        <w:spacing w:after="120"/>
        <w:ind w:left="259" w:right="259"/>
        <w:jc w:val="left"/>
        <w:shd w:fill="F2F5F7"/>
      </w:pPr>
      <w:r>
        <w:rPr>
          <w:rFonts w:ascii="DejaVu Sans" w:hAnsi="DejaVu Sans" w:eastAsia="DejaVu Sans" w:cs="DejaVu Sans"/>
          <w:b w:val="0"/>
          <w:color w:val="1F2937"/>
          <w:sz w:val="17"/>
        </w:rPr>
        <w:t>You are the lead software architect and senior full-stack developer for a production-grade B2B research and consulting SaaS platform called:</w:t>
        <w:br/>
        <w:br/>
        <w:t>"نضج MCM"</w:t>
        <w:br/>
        <w:t>Marketing Communication Maturity</w:t>
        <w:br/>
        <w:br/>
        <w:t>Your task is to build the complete platform, not a visual prototype.</w:t>
        <w:br/>
        <w:br/>
        <w:t>IMPORTANT:</w:t>
        <w:br/>
        <w:t>Do not invent scientific constructs, questions, scoring weights, maturity thresholds, or validation claims.</w:t>
        <w:br/>
        <w:br/>
        <w:t>The scientific architecture must strictly separate:</w:t>
        <w:br/>
        <w:t>1. Organisational Enablers / Context</w:t>
        <w:br/>
        <w:t>2. Marketing Communication Maturity (MCM)</w:t>
        <w:br/>
        <w:t>3. Social Media Communication Efficiency (SMCE)</w:t>
        <w:br/>
        <w:br/>
        <w:t>MCM consists of seven configurable dimensions:</w:t>
        <w:br/>
        <w:t>MCM01 Strategic Communication Governance &amp; Direction</w:t>
        <w:br/>
        <w:t>MCM02 Stakeholder &amp; Context Intelligence</w:t>
        <w:br/>
        <w:t>MCM03 Communication Information Governance &amp; Integrity</w:t>
        <w:br/>
        <w:t>MCM04 Organisational &amp; Journey Orchestration</w:t>
        <w:br/>
        <w:t>MCM05 Promise–Experience &amp; Expectation Alignment</w:t>
        <w:br/>
        <w:t>MCM06 Evidence, Learning &amp; Adaptive Communication</w:t>
        <w:br/>
        <w:t>MCM07 Institutionalisation &amp; Communication Scalability</w:t>
        <w:br/>
        <w:br/>
        <w:t>SMCE is a downstream outcome and must NOT be included in the MCM score.</w:t>
        <w:br/>
        <w:br/>
        <w:t>SMCE consists of five configurable dimensions:</w:t>
        <w:br/>
        <w:t>SMCE01 Response &amp; Resolution Efficiency</w:t>
        <w:br/>
        <w:t>SMCE02 Meaning &amp; Interaction Quality</w:t>
        <w:br/>
        <w:t>SMCE03 Action Efficiency</w:t>
        <w:br/>
        <w:t>SMCE04 Low Communication Friction</w:t>
        <w:br/>
        <w:t>SMCE05 Resource &amp; Goal Efficiency</w:t>
        <w:br/>
        <w:br/>
        <w:t>The instrument is currently provisional. Therefore questions, dimensions, scoring weights, maturity thresholds, item ordering, reverse coding and instrument versions must be database-driven and configurable. Never hard-code the questionnaire and never label the current model as scientifically validated.</w:t>
        <w:br/>
        <w:br/>
        <w:t>Create instrument statuses: DRAFT, PILOT, VALIDATED, ARCHIVED.</w:t>
        <w:br/>
        <w:br/>
        <w:t>Technology stack:</w:t>
        <w:br/>
        <w:t>Frontend: Next.js + React + TypeScript + Tailwind CSS + Apache ECharts</w:t>
        <w:br/>
        <w:t>Backend: Python FastAPI + SQLAlchemy + Pydantic</w:t>
        <w:br/>
        <w:t>Database: PostgreSQL</w:t>
        <w:br/>
        <w:t>Exports: openpyxl for Excel, pyreadstat for SPSS SAV</w:t>
        <w:br/>
        <w:t>Reports: Playwright HTML to PDF</w:t>
        <w:br/>
        <w:t>Deployment: Docker + docker-compose</w:t>
        <w:br/>
        <w:br/>
        <w:t>The platform must be Arabic-first RTL and fully support English LTR.</w:t>
        <w:br/>
        <w:br/>
        <w:t>BRAND:</w:t>
        <w:br/>
        <w:t>Platform name: نضج MCM</w:t>
        <w:br/>
        <w:t>English subtitle: Marketing Communication Maturity</w:t>
        <w:br/>
        <w:t>Colors: #0D2B36, #0F4C5C, #18A999, #8BCB7C, #F2F5F7, #FFFFFF</w:t>
        <w:br/>
        <w:t>Arabic typography: IBM Plex Sans Arabic</w:t>
        <w:br/>
        <w:t>English typography: Inter</w:t>
        <w:br/>
        <w:t>Visual character: professional, scientific, strategic, consulting-oriented, minimal, credible, B2B SaaS. Do not design it like a quiz or consumer game.</w:t>
        <w:br/>
        <w:br/>
        <w:t>USER ROLES:</w:t>
        <w:br/>
        <w:t>COMPANY_RESPONDENT</w:t>
        <w:br/>
        <w:t>COMPANY_ADMIN</w:t>
        <w:br/>
        <w:t>CONSULTANT</w:t>
        <w:br/>
        <w:t>RESEARCHER</w:t>
        <w:br/>
        <w:t>SUPER_ADMIN</w:t>
        <w:br/>
        <w:br/>
        <w:t>Create separate company and researcher experiences.</w:t>
        <w:br/>
        <w:br/>
        <w:t>COMPANY FLOW:</w:t>
        <w:br/>
        <w:t>Landing page → Register/Login → Company Profile → Consent → Assessment → Submit → MCM Results → SMCE Results → Deep Diagnosis → Benchmark → Recommendations → 30/90/180 Day Roadmap → PDF Executive Report → Reassessment History</w:t>
        <w:br/>
        <w:br/>
        <w:t>ASSESSMENT:</w:t>
        <w:br/>
        <w:t>Questions must load from the database. Autosave every response. Allow Save &amp; Continue Later. Display section progress. Support Likert 1-5, Likert 1-7, Boolean, Numeric, Multiple Choice, Text.</w:t>
        <w:br/>
        <w:br/>
        <w:t>SCORING:</w:t>
        <w:br/>
        <w:t>Build a separate server-side scoring engine. Never calculate scientific results in the UI.</w:t>
        <w:br/>
        <w:t>Normalized item score: (response - min) / (max - min) * 100.</w:t>
        <w:br/>
        <w:t>Support reverse-coded items.</w:t>
        <w:br/>
        <w:t>Dimension scores must support mean and weighted mean.</w:t>
        <w:br/>
        <w:t>MCM overall score must use configurable dimension weights.</w:t>
        <w:br/>
        <w:t>SMCE must be calculated separately.</w:t>
        <w:br/>
        <w:t>Create configurable maturity levels in the database.</w:t>
        <w:br/>
        <w:t>Default provisional labels: Reactive / Ad hoc; Responsive / Emerging; Managed &amp; Integrated; Proactive &amp; Adaptive; Institutionalised &amp; Intelligent. Do NOT treat cut-offs as scientifically validated.</w:t>
        <w:br/>
        <w:br/>
        <w:t>DIAGNOSTIC ENGINE:</w:t>
        <w:br/>
        <w:t>Create a database-driven rules engine supporting IF conditions, AND/OR, dimension thresholds, score gaps, severity, diagnosis ID and recommendation links. Initial diagnosis categories: Information Integrity Risk, Strategy–Execution Gap, Promise–Experience Gap, Data Without Learning, Key Person Dependency, Journey Fragmentation, Communication Friction, Stakeholder Misalignment, Reactive Communication, Scalability Risk.</w:t>
        <w:br/>
        <w:br/>
        <w:t>Do not use an LLM to determine scientific scores. Use this logic:</w:t>
        <w:br/>
        <w:t>responses → statistical scoring engine → diagnostic rule engine → evidence-based recommendation library → optional AI narrative explanation.</w:t>
        <w:br/>
        <w:br/>
        <w:t>RECOMMENDATIONS:</w:t>
        <w:br/>
        <w:t>Each recommendation must contain id, dimension, problem, action, why_it_matters, owner, impact, effort, time_horizon, KPI, evidence_source, version. Generate 0–30 days, 31–90 days and 3–6 months roadmap.</w:t>
        <w:br/>
        <w:br/>
        <w:t>BENCHMARKING:</w:t>
        <w:br/>
        <w:t>Support company vs sector, company-size cohort, overall dataset and top quartile. Never show a benchmark below a configurable minimum sample size.</w:t>
        <w:br/>
        <w:br/>
        <w:t>REASSESSMENT:</w:t>
        <w:br/>
        <w:t>Support repeated assessments and display changes in overall MCM, seven MCM dimensions, SMCE and maturity level.</w:t>
        <w:br/>
        <w:br/>
        <w:t>RESEARCHER CONSOLE:</w:t>
        <w:br/>
        <w:t>Provide Sample Overview, Dataset Explorer, Instrument Management, Data Quality, Statistics, Benchmarks, Exports, Codebook and Audit Logs. Filters: sector, company size, date, region, business model, instrument version, completion status and data origin. Every case must contain data_origin = REAL | SYNTHETIC | DEMO | TEST. Never mix synthetic/demo/test records with real research data by default.</w:t>
        <w:br/>
        <w:br/>
        <w:t>DATA PRIVACY:</w:t>
        <w:br/>
        <w:t>Separate personally identifiable data from research data. Research datasets should use anonymized participant IDs. Store explicit research consent.</w:t>
        <w:br/>
        <w:br/>
        <w:t>EXPORTS:</w:t>
        <w:br/>
        <w:t>Excel workbook sheets: RESPONSES_WIDE, RESPONSES_LONG, MCM_SCORES, SMCE_SCORES, COMPANY_PROFILE, CODEBOOK, VARIABLE_LABELS, VALUE_LABELS, INSTRUMENT, METADATA.</w:t>
        <w:br/>
        <w:t>SPSS: provide direct .sav using pyreadstat and fallback package containing dataset.csv, codebook.xlsx, labels.xlsx, import.sps, README.txt. Use SPSS-safe variable names such as ORG_ID, SECTOR, SIZE, MCM01_01, SMCE01_01, MCM01_SCORE, MCM_TOTAL, SMCE_TOTAL. Never use Arabic variable names.</w:t>
        <w:br/>
        <w:br/>
        <w:t>Handle missing data explicitly: NOT_ANSWERED, NOT_APPLICABLE, SKIPPED, TECHNICAL_MISSING. Never convert missing responses to zero.</w:t>
        <w:br/>
        <w:br/>
        <w:t>DATABASE:</w:t>
        <w:br/>
        <w:t>Use PostgreSQL with migrations. At minimum create users, organizations, organization_users, consents, instruments, instrument_versions, dimensions, items, item_options, assessments, responses, dimension_scores, assessment_scores, maturity_levels, diagnostic_rules, diagnostic_results, recommendations, assessment_recommendations, benchmarks, reports, research_exports, audit_logs.</w:t>
        <w:br/>
        <w:br/>
        <w:t>SECURITY:</w:t>
        <w:br/>
        <w:t>Secure password hashing, JWT access + refresh tokens, RBAC, rate limiting, input validation, audit logs, HTTPS-ready configuration, environment variables and no secrets in source control.</w:t>
        <w:br/>
        <w:br/>
        <w:t>TESTING:</w:t>
        <w:br/>
        <w:t>Create automated tests for authentication, permissions, assessment saving, reverse-coded items, normalized scoring, dimension scoring, MCM scoring, SMCE scoring, missing values, instrument versioning, diagnostic rules, Excel export and SPSS export.</w:t>
        <w:br/>
        <w:br/>
        <w:t>IMPLEMENTATION RULE:</w:t>
        <w:br/>
        <w:t>Build incrementally in 12 phases: architecture/database; authentication/organisations; instrument management; assessment engine; scoring engine; results dashboard; diagnostic/recommendations; researcher console; Excel/SPSS; PDF; benchmarking/reassessment; testing/security/deployment. After every phase run tests, fix errors and do not continue until the current phase works.</w:t>
        <w:br/>
        <w:br/>
        <w:t>Do not replace requirements with placeholders. Do not create fake API responses where production endpoints are required. Do not hard-code data that belongs in PostgreSQL. Do not invent scientific questionnaire items unless explicitly provided.</w:t>
        <w:br/>
        <w:br/>
        <w:t>Start by creating architecture.md, database-schema.md, API specification, folder structure and PostgreSQL migrations. Then implement Phase 1.</w:t>
      </w:r>
    </w:p>
    <w:p>
      <w:pPr>
        <w:pStyle w:val="Heading1"/>
        <w:bidi w:val="1"/>
        <w:spacing w:before="160" w:after="160"/>
        <w:jc w:val="right"/>
      </w:pPr>
      <w:r>
        <w:rPr>
          <w:rFonts w:ascii="Noto Sans Arabic" w:hAnsi="Noto Sans Arabic" w:eastAsia="Noto Sans Arabic" w:cs="Noto Sans Arabic"/>
        </w:rPr>
        <w:t>39. ملاحظات منهجية نهائية للمبرمج</w:t>
      </w:r>
    </w:p>
    <w:p>
      <w:pPr>
        <w:bidi w:val="1"/>
        <w:spacing w:after="40" w:before="0" w:line="276" w:lineRule="auto"/>
        <w:ind w:right="0"/>
        <w:jc w:val="right"/>
      </w:pPr>
      <w:r>
        <w:rPr>
          <w:rFonts w:ascii="Noto Sans Arabic" w:hAnsi="Noto Sans Arabic" w:eastAsia="Noto Sans Arabic" w:cs="Noto Sans Arabic"/>
          <w:b w:val="0"/>
          <w:color w:val="1F2937"/>
          <w:sz w:val="20"/>
        </w:rPr>
        <w:t>• لا تكتب أسئلة المقياس من عندك.</w:t>
      </w:r>
    </w:p>
    <w:p>
      <w:pPr>
        <w:bidi w:val="1"/>
        <w:spacing w:after="40" w:before="0" w:line="276" w:lineRule="auto"/>
        <w:ind w:right="0"/>
        <w:jc w:val="right"/>
      </w:pPr>
      <w:r>
        <w:rPr>
          <w:rFonts w:ascii="Noto Sans Arabic" w:hAnsi="Noto Sans Arabic" w:eastAsia="Noto Sans Arabic" w:cs="Noto Sans Arabic"/>
          <w:b w:val="0"/>
          <w:color w:val="1F2937"/>
          <w:sz w:val="20"/>
        </w:rPr>
        <w:t>• لا تستخدم كلمة Validated في الواجهة قبل اكتمال التحقق العلمي.</w:t>
      </w:r>
    </w:p>
    <w:p>
      <w:pPr>
        <w:bidi w:val="1"/>
        <w:spacing w:after="40" w:before="0" w:line="276" w:lineRule="auto"/>
        <w:ind w:right="0"/>
        <w:jc w:val="right"/>
      </w:pPr>
      <w:r>
        <w:rPr>
          <w:rFonts w:ascii="Noto Sans Arabic" w:hAnsi="Noto Sans Arabic" w:eastAsia="Noto Sans Arabic" w:cs="Noto Sans Arabic"/>
          <w:b w:val="0"/>
          <w:color w:val="1F2937"/>
          <w:sz w:val="20"/>
        </w:rPr>
        <w:t>• لا تدمج Enablers أو SMCE داخل MCM Score.</w:t>
      </w:r>
    </w:p>
    <w:p>
      <w:pPr>
        <w:bidi w:val="1"/>
        <w:spacing w:after="40" w:before="0" w:line="276" w:lineRule="auto"/>
        <w:ind w:right="0"/>
        <w:jc w:val="right"/>
      </w:pPr>
      <w:r>
        <w:rPr>
          <w:rFonts w:ascii="Noto Sans Arabic" w:hAnsi="Noto Sans Arabic" w:eastAsia="Noto Sans Arabic" w:cs="Noto Sans Arabic"/>
          <w:b w:val="0"/>
          <w:color w:val="1F2937"/>
          <w:sz w:val="20"/>
        </w:rPr>
        <w:t>• لا تجعل LLM هو محرك القياس.</w:t>
      </w:r>
    </w:p>
    <w:p>
      <w:pPr>
        <w:bidi w:val="1"/>
        <w:spacing w:after="40" w:before="0" w:line="276" w:lineRule="auto"/>
        <w:ind w:right="0"/>
        <w:jc w:val="right"/>
      </w:pPr>
      <w:r>
        <w:rPr>
          <w:rFonts w:ascii="Noto Sans Arabic" w:hAnsi="Noto Sans Arabic" w:eastAsia="Noto Sans Arabic" w:cs="Noto Sans Arabic"/>
          <w:b w:val="0"/>
          <w:color w:val="1F2937"/>
          <w:sz w:val="20"/>
        </w:rPr>
        <w:t>• لا تحفظ أسئلة الأداة والأوزان والحدود داخل الكود.</w:t>
      </w:r>
    </w:p>
    <w:p>
      <w:pPr>
        <w:bidi w:val="1"/>
        <w:spacing w:after="40" w:before="0" w:line="276" w:lineRule="auto"/>
        <w:ind w:right="0"/>
        <w:jc w:val="right"/>
      </w:pPr>
      <w:r>
        <w:rPr>
          <w:rFonts w:ascii="Noto Sans Arabic" w:hAnsi="Noto Sans Arabic" w:eastAsia="Noto Sans Arabic" w:cs="Noto Sans Arabic"/>
          <w:b w:val="0"/>
          <w:color w:val="1F2937"/>
          <w:sz w:val="20"/>
        </w:rPr>
        <w:t>• كل نتيجة يجب أن تكون قابلة للتتبع إلى Instrument Version وScoring Version.</w:t>
      </w:r>
    </w:p>
    <w:p>
      <w:pPr>
        <w:bidi w:val="1"/>
        <w:spacing w:after="40" w:before="0" w:line="276" w:lineRule="auto"/>
        <w:ind w:right="0"/>
        <w:jc w:val="right"/>
      </w:pPr>
      <w:r>
        <w:rPr>
          <w:rFonts w:ascii="Noto Sans Arabic" w:hAnsi="Noto Sans Arabic" w:eastAsia="Noto Sans Arabic" w:cs="Noto Sans Arabic"/>
          <w:b w:val="0"/>
          <w:color w:val="1F2937"/>
          <w:sz w:val="20"/>
        </w:rPr>
        <w:t>• البنية يجب أن تسمح بالانتقال لاحقًا من أداة دكتوراه إلى منصة استشارية وتجارية دون إعادة بناء النظام من الصفر.</w:t>
      </w:r>
    </w:p>
    <w:p>
      <w:pPr>
        <w:pStyle w:val="Heading1"/>
        <w:bidi w:val="1"/>
        <w:spacing w:before="160" w:after="160"/>
        <w:jc w:val="right"/>
      </w:pPr>
      <w:r>
        <w:rPr>
          <w:rFonts w:ascii="Noto Sans Arabic" w:hAnsi="Noto Sans Arabic" w:eastAsia="Noto Sans Arabic" w:cs="Noto Sans Arabic"/>
        </w:rPr>
        <w:t>40. مصدر النموذج البحثي المستخدم</w:t>
      </w:r>
    </w:p>
    <w:p>
      <w:pPr>
        <w:bidi w:val="1"/>
        <w:spacing w:after="100" w:before="0" w:line="288" w:lineRule="auto"/>
        <w:jc w:val="both"/>
      </w:pPr>
      <w:r>
        <w:rPr>
          <w:rFonts w:ascii="Noto Sans Arabic" w:hAnsi="Noto Sans Arabic" w:eastAsia="Noto Sans Arabic" w:cs="Noto Sans Arabic"/>
          <w:b w:val="0"/>
          <w:color w:val="1F2937"/>
          <w:sz w:val="21"/>
        </w:rPr>
        <w:t>بُنيت البنية العلمية لهذه المواصفات على تقرير التحليل النوعي الاصطناعي المرفق للمشروع: “Synthetic Qualitative Interview Report — Research Development Use Only”، والذي اقترح سبعة أبعاد أعلى للنضج الاتصالي وخمسة أبعاد لنتائج كفاءة الاتصال، مع التأكيد أن الحالات الاصطناعية ليست بيانات ميدانية فعلية وأن النموذج يحتاج إلى التحقق من خلال المقابلات الحقيقية ثم تطوير البنود والتحكيم والاختبار المعرفي والـPilot ثم EFA/CFA.</w:t>
      </w:r>
    </w:p>
    <w:tbl>
      <w:tblPr>
        <w:tblW w:type="auto" w:w="0"/>
        <w:jc w:val="center"/>
        <w:tblLayout w:type="autofit"/>
        <w:tblLook w:firstColumn="1" w:firstRow="1" w:lastColumn="0" w:lastRow="0" w:noHBand="0" w:noVBand="1" w:val="04A0"/>
      </w:tblPr>
      <w:tblGrid>
        <w:gridCol w:w="10224"/>
      </w:tblGrid>
      <w:tr>
        <w:trPr>
          <w:tblHeader w:val="true"/>
          <w:cantSplit/>
        </w:trPr>
        <w:tc>
          <w:tcPr>
            <w:tcW w:type="dxa" w:w="10224"/>
            <w:shd w:fill="F7FBFB"/>
            <w:tcMar>
              <w:top w:w="180" w:type="dxa"/>
              <w:start w:w="180" w:type="dxa"/>
              <w:bottom w:w="180" w:type="dxa"/>
              <w:end w:w="180" w:type="dxa"/>
            </w:tcMar>
          </w:tcPr>
          <w:p>
            <w:pPr>
              <w:bidi w:val="1"/>
              <w:jc w:val="right"/>
            </w:pPr>
            <w:r>
              <w:rPr>
                <w:rFonts w:ascii="Noto Sans Arabic" w:hAnsi="Noto Sans Arabic" w:eastAsia="Noto Sans Arabic" w:cs="Noto Sans Arabic"/>
                <w:b/>
                <w:color w:val="18A999"/>
                <w:sz w:val="21"/>
              </w:rPr>
              <w:t>حالة الوثيقة</w:t>
              <w:br/>
            </w:r>
            <w:r>
              <w:rPr>
                <w:rFonts w:ascii="Noto Sans Arabic" w:hAnsi="Noto Sans Arabic" w:eastAsia="Noto Sans Arabic" w:cs="Noto Sans Arabic"/>
                <w:b w:val="0"/>
                <w:color w:val="1F2937"/>
                <w:sz w:val="19"/>
              </w:rPr>
              <w:t>هذه الوثيقة صالحة لتسليمها مباشرة إلى فريق التطوير كـProduct &amp; Technical Specification للنسخة Research Beta من «نضج MCM».</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DejaVu Sans" w:hAnsi="DejaVu Sans" w:eastAsia="DejaVu Sans" w:cs="DejaVu Sans"/>
        <w:b w:val="0"/>
        <w:color w:val="6B7280"/>
        <w:sz w:val="14"/>
      </w:rPr>
      <w:t>Marketing Communication Maturity Platform — Product &amp; Technical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b/>
        <w:color w:val="0F4C5C"/>
        <w:sz w:val="16"/>
      </w:rPr>
      <w:t>نضج MCM  |  وثيقة المتطلبات الوظيفية والتقنية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0D2B3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0F4C5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18A9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cs="Noto Sans Arabic"/>
      <w:b/>
      <w:color w:val="0D2B36"/>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DejaVu Sans" w:hAnsi="DejaVu San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