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2996F" w14:textId="77777777" w:rsidR="004B4345" w:rsidRDefault="004B4345" w:rsidP="004B4345">
      <w:commentRangeStart w:id="0"/>
      <w:commentRangeStart w:id="1"/>
      <w:commentRangeStart w:id="2"/>
      <w:r>
        <w:t>2.       Solve x</w:t>
      </w:r>
      <w:r>
        <w:rPr>
          <w:vertAlign w:val="superscript"/>
        </w:rPr>
        <w:t xml:space="preserve">5 </w:t>
      </w:r>
      <w:r>
        <w:t>– 3</w:t>
      </w:r>
      <w:r w:rsidRPr="00547D93">
        <w:t xml:space="preserve"> </w:t>
      </w:r>
      <w:r>
        <w:t>x</w:t>
      </w:r>
      <w:r>
        <w:rPr>
          <w:vertAlign w:val="superscript"/>
        </w:rPr>
        <w:t>3</w:t>
      </w:r>
      <w:r>
        <w:t xml:space="preserve"> + 2</w:t>
      </w:r>
      <w:r w:rsidRPr="00547D93">
        <w:t xml:space="preserve"> </w:t>
      </w:r>
      <w:r>
        <w:t>x</w:t>
      </w:r>
      <w:r>
        <w:rPr>
          <w:vertAlign w:val="superscript"/>
        </w:rPr>
        <w:t>2</w:t>
      </w:r>
      <w:r>
        <w:t xml:space="preserve"> – 3 &gt; 0.            (A) (</w:t>
      </w:r>
      <m:oMath>
        <m:r>
          <w:rPr>
            <w:rFonts w:ascii="Cambria Math" w:hAnsi="Cambria Math"/>
          </w:rPr>
          <m:t>-∞</m:t>
        </m:r>
      </m:oMath>
      <w:r>
        <w:t xml:space="preserve"> , – 0.87)            (B)  (–1.90,–0.87)           (C)  (–1.90,–0.87) U (1.58 , </w:t>
      </w:r>
      <m:oMath>
        <m:r>
          <w:rPr>
            <w:rFonts w:ascii="Cambria Math" w:hAnsi="Cambria Math"/>
          </w:rPr>
          <m:t>∞</m:t>
        </m:r>
      </m:oMath>
      <w:r>
        <w:t xml:space="preserve"> )           (D)  (–0.87,1.58)           (E)  ( 1.58 , </w:t>
      </w:r>
      <m:oMath>
        <m:r>
          <w:rPr>
            <w:rFonts w:ascii="Cambria Math" w:hAnsi="Cambria Math"/>
          </w:rPr>
          <m:t xml:space="preserve">∞ </m:t>
        </m:r>
      </m:oMath>
      <w:r>
        <w:t>)</w:t>
      </w:r>
      <w:commentRangeEnd w:id="0"/>
      <w:r w:rsidR="00CD1A02">
        <w:rPr>
          <w:rStyle w:val="CommentReference"/>
        </w:rPr>
        <w:commentReference w:id="0"/>
      </w:r>
      <w:commentRangeEnd w:id="1"/>
      <w:r w:rsidR="00CD1A02">
        <w:rPr>
          <w:rStyle w:val="CommentReference"/>
        </w:rPr>
        <w:commentReference w:id="1"/>
      </w:r>
      <w:commentRangeEnd w:id="2"/>
      <w:r w:rsidR="00CD1A02">
        <w:rPr>
          <w:rStyle w:val="CommentReference"/>
        </w:rPr>
        <w:commentReference w:id="2"/>
      </w:r>
    </w:p>
    <w:p w14:paraId="45452C5D" w14:textId="77777777" w:rsidR="004F7E30" w:rsidRDefault="00CD1A0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4D4FEECE" w14:textId="77777777" w:rsidR="00CD1A02" w:rsidRDefault="00CD1A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  (C) Graph the function, and determine that the three zeros are –1.90, –0.87, and 1.58. The parts of the graph that are above the x-axis have x-coordinates between –1.90 and –0.87 and are larger than 1.58.</w:t>
      </w:r>
    </w:p>
    <w:p w14:paraId="0E893B57" w14:textId="77777777" w:rsidR="00CD1A02" w:rsidRDefault="00CD1A02">
      <w:pPr>
        <w:pStyle w:val="CommentText"/>
      </w:pPr>
    </w:p>
  </w:comment>
  <w:comment w:id="1" w:author="Hassan Ahmad" w:date="2019-05-24T20:13:00Z" w:initials="HA">
    <w:p w14:paraId="41B63EAA" w14:textId="77777777" w:rsidR="00CD1A02" w:rsidRDefault="00CD1A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078ED33B" w14:textId="77777777" w:rsidR="00CD1A02" w:rsidRDefault="00CD1A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893B57" w15:done="0"/>
  <w15:commentEx w15:paraId="41B63EAA" w15:done="0"/>
  <w15:commentEx w15:paraId="078ED3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893B57" w16cid:durableId="2092CFE9"/>
  <w16cid:commentId w16cid:paraId="41B63EAA" w16cid:durableId="2092CFEA"/>
  <w16cid:commentId w16cid:paraId="078ED33B" w16cid:durableId="2092CF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45"/>
    <w:rsid w:val="000C0D1F"/>
    <w:rsid w:val="0019429B"/>
    <w:rsid w:val="002A263A"/>
    <w:rsid w:val="004B4345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CD1A0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1035"/>
  <w15:chartTrackingRefBased/>
  <w15:docId w15:val="{85695AB9-E44A-4C74-864B-20703EFF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A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A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A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