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Lulu US Trade Interior Template</w:t>
      </w:r>
    </w:p>
    <w:bookmarkStart w:id="9" w:name="template"/>
    <w:p>
      <w:pPr>
        <w:pStyle w:val="Heading1"/>
      </w:pPr>
      <w:r>
        <w:t xml:space="preserve">Template</w:t>
      </w:r>
    </w:p>
    <w:p>
      <w:pPr>
        <w:pStyle w:val="FirstParagraph"/>
      </w:pPr>
      <w:r>
        <w:t xml:space="preserve">This versioned template seed establishes the 6×9 DOCX page geometry. The generated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is a project asset and must be reviewed when its source or toolchain changes.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Lulu US Trade Interior Template</dc:title>
  <dc:creator/>
  <cp:keywords/>
  <dcterms:created xsi:type="dcterms:W3CDTF">2026-08-16T01:54:46Z</dcterms:created>
  <dcterms:modified xsi:type="dcterms:W3CDTF">2026-08-16T01:54:46Z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10.5pt</vt:lpwstr>
  </property>
  <property fmtid="{D5CDD505-2E9C-101B-9397-08002B2CF9AE}" pid="3" name="papersize">
    <vt:lpwstr>6x9</vt:lpwstr>
  </property>
</Properties>
</file>