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55629" w14:textId="77777777" w:rsidR="00C2692F" w:rsidRDefault="00C2692F">
      <w:pPr>
        <w:pStyle w:val="Text"/>
        <w:ind w:firstLine="0"/>
        <w:rPr>
          <w:sz w:val="2"/>
          <w:szCs w:val="18"/>
        </w:rPr>
      </w:pPr>
      <w:r>
        <w:rPr>
          <w:sz w:val="2"/>
          <w:szCs w:val="18"/>
        </w:rPr>
        <w:footnoteReference w:customMarkFollows="1" w:id="1"/>
        <w:sym w:font="Symbol" w:char="F020"/>
      </w:r>
    </w:p>
    <w:p w14:paraId="66070D87" w14:textId="36869B05" w:rsidR="001D0236" w:rsidRDefault="001D0236" w:rsidP="001D0236">
      <w:pPr>
        <w:pStyle w:val="Title"/>
        <w:framePr w:wrap="notBeside"/>
      </w:pPr>
      <w:proofErr w:type="spellStart"/>
      <w:r>
        <w:t>DeepDeath</w:t>
      </w:r>
      <w:proofErr w:type="spellEnd"/>
      <w:r w:rsidRPr="00FC4DB0">
        <w:t xml:space="preserve">: </w:t>
      </w:r>
      <w:r>
        <w:t>Learning to Predict the Underlyi</w:t>
      </w:r>
      <w:r w:rsidR="0042500D">
        <w:t>ng Cause of Death with Big Data</w:t>
      </w:r>
      <w:r>
        <w:t>*</w:t>
      </w:r>
    </w:p>
    <w:p w14:paraId="379EDB72" w14:textId="7B02B5AD" w:rsidR="001D0236" w:rsidRDefault="001D0236" w:rsidP="00F0502D">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and </w:t>
      </w:r>
      <w:r w:rsidRPr="00EA623D">
        <w:t>May D. Wang</w:t>
      </w:r>
      <w:r>
        <w:t xml:space="preserve">, </w:t>
      </w:r>
      <w:r>
        <w:rPr>
          <w:rStyle w:val="MemberType"/>
        </w:rPr>
        <w:t>Senior Member, IEEE</w:t>
      </w:r>
    </w:p>
    <w:p w14:paraId="6455715D" w14:textId="3C9EC50D" w:rsidR="00C2692F" w:rsidRDefault="00C2692F" w:rsidP="00DA1A52">
      <w:pPr>
        <w:pStyle w:val="Abstract"/>
        <w:spacing w:before="0"/>
      </w:pPr>
      <w:r>
        <w:rPr>
          <w:i/>
          <w:iCs/>
        </w:rPr>
        <w:t>Abstract</w:t>
      </w:r>
      <w:r>
        <w:t>—</w:t>
      </w:r>
      <w:r w:rsidRPr="00B32A40">
        <w:t xml:space="preserve"> </w:t>
      </w:r>
      <w:r w:rsidR="006B2FD2">
        <w:t>Multiple cause-</w:t>
      </w:r>
      <w:r w:rsidR="00F01750">
        <w:t>of</w:t>
      </w:r>
      <w:r w:rsidR="006B2FD2">
        <w:t>-</w:t>
      </w:r>
      <w:r w:rsidR="00F01750">
        <w:t>death data provides a valuable source of information that can be used to enhance health standards by pre</w:t>
      </w:r>
      <w:r w:rsidR="00546F2D">
        <w:t xml:space="preserve">dicting health related trajectories </w:t>
      </w:r>
      <w:r w:rsidR="00150624">
        <w:t>in societies with large populations. These data are often available in large quantities across U.S. states and require Big Data techniques to uncover complex</w:t>
      </w:r>
      <w:r w:rsidR="006B2FD2">
        <w:t xml:space="preserve"> hidden</w:t>
      </w:r>
      <w:r w:rsidR="00150624">
        <w:t xml:space="preserve"> patterns. We design two different classes of models suitable for large-scale analysis of mortality data, a </w:t>
      </w:r>
      <w:r w:rsidR="004B2AD6">
        <w:t>Hadoop-</w:t>
      </w:r>
      <w:r w:rsidR="00150624">
        <w:t>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6B2FD2">
        <w:t xml:space="preserve">the </w:t>
      </w:r>
      <w:r w:rsidR="00150624">
        <w:t>recurrent neural network</w:t>
      </w:r>
      <w:r w:rsidR="00CC4057">
        <w:t xml:space="preserve"> </w:t>
      </w:r>
      <w:r w:rsidR="006B2FD2">
        <w:t>(RNN)</w:t>
      </w:r>
      <w:r w:rsidR="00CC4057">
        <w:t>.</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14:paraId="3CEAEB88" w14:textId="77777777" w:rsidR="00C2692F" w:rsidRDefault="00C2692F" w:rsidP="00C2692F">
      <w:pPr>
        <w:pStyle w:val="Heading1"/>
        <w:spacing w:before="120" w:after="120"/>
      </w:pPr>
      <w:r>
        <w:t>I</w:t>
      </w:r>
      <w:r>
        <w:rPr>
          <w:sz w:val="16"/>
          <w:szCs w:val="16"/>
        </w:rPr>
        <w:t>NTRODUCTION</w:t>
      </w:r>
    </w:p>
    <w:p w14:paraId="1B5A85B8" w14:textId="37A49619"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here ha</w:t>
      </w:r>
      <w:r w:rsidR="001B04F0">
        <w:t>ve</w:t>
      </w:r>
      <w:r>
        <w:t xml:space="preserve">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14:paraId="7AC897FE" w14:textId="64D49C03"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w:t>
      </w:r>
      <w:r w:rsidR="006B2FD2">
        <w:t xml:space="preserve">the </w:t>
      </w:r>
      <w:r>
        <w:t xml:space="preserve">death </w:t>
      </w:r>
      <w:r w:rsidR="006B2FD2">
        <w:t xml:space="preserve">event </w:t>
      </w:r>
      <w:r>
        <w:t>in chronic disease</w:t>
      </w:r>
      <w:r w:rsidR="006B2FD2">
        <w:t>s</w:t>
      </w:r>
      <w:r>
        <w:t xml:space="preserve"> such as </w:t>
      </w:r>
      <w:r w:rsidR="006B2FD2">
        <w:t xml:space="preserve">the </w:t>
      </w:r>
      <w:r>
        <w:t xml:space="preserve">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w:t>
      </w:r>
      <w:r w:rsidR="006B2FD2">
        <w:t xml:space="preserve">the </w:t>
      </w:r>
      <w:r>
        <w:t xml:space="preserve">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to identify problems with the process of coding/recording cause</w:t>
      </w:r>
      <w:r w:rsidR="006B2FD2">
        <w:t>-</w:t>
      </w:r>
      <w:r w:rsidR="008D7ABF">
        <w:t>of</w:t>
      </w:r>
      <w:r w:rsidR="006B2FD2">
        <w:t>-</w:t>
      </w:r>
      <w:r w:rsidR="008D7ABF">
        <w:t xml:space="preserve">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BD4D31">
        <w:t xml:space="preserve">. Moreover, these data </w:t>
      </w:r>
      <w:r w:rsidR="008D7ABF">
        <w:t>can be potential</w:t>
      </w:r>
      <w:r w:rsidR="002408F5">
        <w:t>ly</w:t>
      </w:r>
      <w:r w:rsidR="008D7ABF">
        <w:t xml:space="preserve"> used in</w:t>
      </w:r>
      <w:r w:rsidR="004C0679">
        <w:t xml:space="preserve"> analysis of</w:t>
      </w:r>
      <w:r w:rsidR="008D7ABF">
        <w:t xml:space="preserve"> </w:t>
      </w:r>
      <w:r>
        <w:t>disease diffusion for control</w:t>
      </w:r>
      <w:r w:rsidR="002408F5">
        <w:t>ling plague</w:t>
      </w:r>
      <w:r w:rsidR="00995543">
        <w:t>s</w:t>
      </w:r>
      <w:r w:rsidR="002408F5">
        <w:t xml:space="preserve"> and other epidemics </w:t>
      </w:r>
      <w:r w:rsidR="00BD4D31">
        <w:t>and may provide</w:t>
      </w:r>
      <w:r>
        <w:t xml:space="preserve"> </w:t>
      </w:r>
      <w:r w:rsidR="00184CBD">
        <w:t xml:space="preserve">a </w:t>
      </w:r>
      <w:r>
        <w:t>better understanding of multi-morbid associations between conditions leading to death</w:t>
      </w:r>
      <w:r w:rsidR="00BD4D31">
        <w:t>.</w:t>
      </w:r>
      <w:r>
        <w:t xml:space="preserve">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multiple-cause</w:t>
      </w:r>
      <w:r w:rsidR="00667735">
        <w:t>-of-death</w:t>
      </w:r>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14:paraId="7C7BD54B" w14:textId="4C292D97" w:rsidR="001D0236" w:rsidRDefault="001D0236" w:rsidP="00BC7E30">
      <w:pPr>
        <w:pStyle w:val="BodyText"/>
      </w:pPr>
      <w:r>
        <w:t xml:space="preserve">Despite the importance of the subject, only a handful of </w:t>
      </w:r>
      <w:r w:rsidR="00BC7E30">
        <w:t>studies</w:t>
      </w:r>
      <w:r>
        <w:t xml:space="preserve"> have so far conducted </w:t>
      </w:r>
      <w:r w:rsidR="00BC7E30">
        <w:t>research</w:t>
      </w:r>
      <w:r>
        <w:t xml:space="preserve"> </w:t>
      </w:r>
      <w:r w:rsidR="00BC7E30">
        <w:t>seeking</w:t>
      </w:r>
      <w:r>
        <w:t xml:space="preserve">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14:paraId="35B29F59" w14:textId="77777777"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w:t>
      </w:r>
      <w:bookmarkStart w:id="0" w:name="_GoBack"/>
      <w:bookmarkEnd w:id="0"/>
      <w:r>
        <w:t xml:space="preserve">as follows. In section II we detail the data format as well as the </w:t>
      </w:r>
      <w:r>
        <w:lastRenderedPageBreak/>
        <w:t xml:space="preserve">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14:paraId="2097F1F9" w14:textId="77777777" w:rsidR="001D0236" w:rsidRDefault="001D0236" w:rsidP="001D0236">
      <w:pPr>
        <w:pStyle w:val="BodyText"/>
      </w:pPr>
    </w:p>
    <w:p w14:paraId="002AB2BB" w14:textId="77777777" w:rsidR="00C2692F" w:rsidRDefault="001D0236" w:rsidP="00C2692F">
      <w:pPr>
        <w:pStyle w:val="Heading1"/>
        <w:spacing w:before="120" w:after="120"/>
      </w:pPr>
      <w:r>
        <w:t>Materials and Methods</w:t>
      </w:r>
    </w:p>
    <w:p w14:paraId="0117582D" w14:textId="77777777" w:rsidR="001D0236" w:rsidRDefault="001D0236" w:rsidP="001D0236">
      <w:pPr>
        <w:pStyle w:val="Heading2"/>
        <w:keepLines/>
        <w:tabs>
          <w:tab w:val="num" w:pos="360"/>
        </w:tabs>
        <w:autoSpaceDE/>
        <w:autoSpaceDN/>
        <w:ind w:left="288" w:hanging="288"/>
      </w:pPr>
      <w:r>
        <w:t>Data source</w:t>
      </w:r>
    </w:p>
    <w:p w14:paraId="779E5837" w14:textId="5709E6D2"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340B8">
        <w:t>. 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14:paraId="10AB2218" w14:textId="2A5278AE" w:rsidR="001D0236" w:rsidRDefault="001D0236" w:rsidP="00566BCA">
      <w:pPr>
        <w:pStyle w:val="BodyText"/>
      </w:pPr>
      <w:r>
        <w:t xml:space="preserve">We used </w:t>
      </w:r>
      <w:r w:rsidR="008340B8">
        <w:t xml:space="preserve">the </w:t>
      </w:r>
      <w:r w:rsidR="0072340F">
        <w:t xml:space="preserve">2015 </w:t>
      </w:r>
      <w:r>
        <w:t>mortality data published by the United States National Center for Health Statistics (NCHS</w:t>
      </w:r>
      <w:r w:rsidR="0072340F">
        <w:t>)</w:t>
      </w:r>
      <w:r w:rsidR="00AB3245">
        <w:t xml:space="preserve"> which consists of over 2.7 million deaths recorded in U.S. during the year 2015</w:t>
      </w:r>
      <w:r>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w:t>
      </w:r>
      <w:r w:rsidR="008340B8">
        <w:t xml:space="preserve">ch as suicide. Based on the 113 </w:t>
      </w:r>
      <w:r w:rsidR="0009668C">
        <w:t>recode of the underlying cause</w:t>
      </w:r>
      <w:r w:rsidR="008340B8">
        <w:t>s</w:t>
      </w:r>
      <w:r w:rsidR="0009668C">
        <w:t xml:space="preserve">, these are assigned to codes 111-113. </w:t>
      </w:r>
      <w:r w:rsidR="0080390D">
        <w:t>Moreover,</w:t>
      </w:r>
      <w:r w:rsidR="0009668C">
        <w:t xml:space="preserve"> </w:t>
      </w:r>
      <w:r w:rsidR="00D71505">
        <w:t xml:space="preserve">we excluded the underlying causes that appear </w:t>
      </w:r>
      <w:r w:rsidR="00E91A13">
        <w:t xml:space="preserve">less than 1000 times throughout the whole dataset leaving </w:t>
      </w:r>
      <w:r w:rsidR="00D71505">
        <w:t xml:space="preserve">us </w:t>
      </w:r>
      <w:r w:rsidR="00E91A13">
        <w:t xml:space="preserve">67 recoded classes </w:t>
      </w:r>
      <w:r w:rsidR="00D71505">
        <w:t xml:space="preserve">for </w:t>
      </w:r>
      <w:r w:rsidR="00E91A13">
        <w:t>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14:paraId="10479F01" w14:textId="77777777"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14:paraId="26ABAA41" w14:textId="77777777" w:rsidR="001D0236" w:rsidRDefault="00D373BD" w:rsidP="00B1450A">
      <w:pPr>
        <w:pStyle w:val="BodyText"/>
      </w:pPr>
      <w:r>
        <w:rPr>
          <w:noProof/>
          <w:lang w:eastAsia="zh-TW"/>
        </w:rPr>
        <mc:AlternateContent>
          <mc:Choice Requires="wps">
            <w:drawing>
              <wp:anchor distT="0" distB="0" distL="114300" distR="114300" simplePos="0" relativeHeight="251670016" behindDoc="0" locked="0" layoutInCell="1" allowOverlap="1" wp14:anchorId="5BA5C3AD" wp14:editId="594FEEA5">
                <wp:simplePos x="0" y="0"/>
                <wp:positionH relativeFrom="column">
                  <wp:posOffset>22860</wp:posOffset>
                </wp:positionH>
                <wp:positionV relativeFrom="paragraph">
                  <wp:posOffset>411480</wp:posOffset>
                </wp:positionV>
                <wp:extent cx="3032760" cy="158242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582420"/>
                        </a:xfrm>
                        <a:prstGeom prst="rect">
                          <a:avLst/>
                        </a:prstGeom>
                        <a:solidFill>
                          <a:srgbClr val="FFFFFF"/>
                        </a:solidFill>
                        <a:ln w="9525">
                          <a:noFill/>
                          <a:miter lim="800000"/>
                          <a:headEnd/>
                          <a:tailEnd/>
                        </a:ln>
                      </wps:spPr>
                      <wps:txb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5C3AD" id="_x0000_t202" coordsize="21600,21600" o:spt="202" path="m,l,21600r21600,l21600,xe">
                <v:stroke joinstyle="miter"/>
                <v:path gradientshapeok="t" o:connecttype="rect"/>
              </v:shapetype>
              <v:shape id="Text Box 8" o:spid="_x0000_s1026" type="#_x0000_t202" style="position:absolute;left:0;text-align:left;margin-left:1.8pt;margin-top:32.4pt;width:238.8pt;height:12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FhJgIAACg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" stroked="f">
                <v:textbo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CN"/>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v:textbox>
                <w10:wrap type="topAndBottom"/>
              </v:shape>
            </w:pict>
          </mc:Fallback>
        </mc:AlternateContent>
      </w:r>
      <w:r w:rsidR="001D0236">
        <w:t xml:space="preserve">To construct our baseline models, we </w:t>
      </w:r>
      <w:r w:rsidR="00EA67E4">
        <w:t xml:space="preserve">derived the </w:t>
      </w:r>
      <w:r w:rsidR="001D0236">
        <w:t xml:space="preserve">n-gram </w:t>
      </w:r>
      <w:r w:rsidR="00EA67E4">
        <w:t xml:space="preserve">features </w:t>
      </w:r>
      <w:r w:rsidR="00095DB7">
        <w:t>where an n</w:t>
      </w:r>
      <w:r w:rsidR="001D0236">
        <w:t xml:space="preserve">-gram is a </w:t>
      </w:r>
      <w:r w:rsidR="00095DB7">
        <w:t xml:space="preserve">defined as an n-tuple consisting 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rsidR="001D0236">
        <w:t xml:space="preserve"> been widely </w:t>
      </w:r>
      <w:r w:rsidR="00095DB7">
        <w:t xml:space="preserve">used </w:t>
      </w:r>
      <w:r w:rsidR="001D0236">
        <w:t xml:space="preserve">in natural language processing </w: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 </w:instrTex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EN.CITE.DATA </w:instrText>
      </w:r>
      <w:r w:rsidR="001D0236">
        <w:fldChar w:fldCharType="end"/>
      </w:r>
      <w:r w:rsidR="001D0236">
        <w:fldChar w:fldCharType="separate"/>
      </w:r>
      <w:r w:rsidR="001D0236">
        <w:rPr>
          <w:noProof/>
        </w:rPr>
        <w:t>[11-13]</w:t>
      </w:r>
      <w:r w:rsidR="001D0236">
        <w:fldChar w:fldCharType="end"/>
      </w:r>
      <w:r w:rsidR="001D0236">
        <w:t xml:space="preserve"> and bioinformatics </w:t>
      </w:r>
      <w:r w:rsidR="001D0236">
        <w:fldChar w:fldCharType="begin"/>
      </w:r>
      <w:r w:rsidR="001D023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rsidR="001D0236">
        <w:fldChar w:fldCharType="separate"/>
      </w:r>
      <w:r w:rsidR="001D0236">
        <w:rPr>
          <w:noProof/>
        </w:rPr>
        <w:t>[14, 15]</w:t>
      </w:r>
      <w:r w:rsidR="001D0236">
        <w:fldChar w:fldCharType="end"/>
      </w:r>
      <w:r w:rsidR="00095DB7">
        <w:t xml:space="preserve"> due to their performance and ease of implementation</w:t>
      </w:r>
      <w:r w:rsidR="001D0236">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w:t>
      </w:r>
      <w:r w:rsidR="00B1450A">
        <w:t xml:space="preserve">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14:paraId="22AF3EA1" w14:textId="77777777"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14:paraId="3802771D" w14:textId="77777777" w:rsidR="00070A1B" w:rsidRDefault="000C4642" w:rsidP="008E1460">
      <w:pPr>
        <w:pStyle w:val="Heading2"/>
        <w:keepLines/>
        <w:autoSpaceDE/>
        <w:autoSpaceDN/>
        <w:ind w:left="0"/>
      </w:pPr>
      <w:proofErr w:type="spellStart"/>
      <w:r>
        <w:t>DeepDeath</w:t>
      </w:r>
      <w:proofErr w:type="spellEnd"/>
    </w:p>
    <w:p w14:paraId="51A05818" w14:textId="13D9705B" w:rsidR="000C4642" w:rsidRDefault="00B70DD8" w:rsidP="000C4642">
      <w:pPr>
        <w:pStyle w:val="BodyText"/>
      </w:pPr>
      <w:r>
        <w:rPr>
          <w:noProof/>
          <w:lang w:eastAsia="zh-TW"/>
        </w:rPr>
        <mc:AlternateContent>
          <mc:Choice Requires="wps">
            <w:drawing>
              <wp:anchor distT="0" distB="0" distL="114300" distR="114300" simplePos="0" relativeHeight="251671040" behindDoc="1" locked="0" layoutInCell="1" allowOverlap="1" wp14:anchorId="1019B3F2" wp14:editId="4518F95F">
                <wp:simplePos x="0" y="0"/>
                <wp:positionH relativeFrom="column">
                  <wp:posOffset>109220</wp:posOffset>
                </wp:positionH>
                <wp:positionV relativeFrom="paragraph">
                  <wp:posOffset>1440815</wp:posOffset>
                </wp:positionV>
                <wp:extent cx="2846070" cy="2114550"/>
                <wp:effectExtent l="0" t="0" r="0" b="0"/>
                <wp:wrapTight wrapText="bothSides">
                  <wp:wrapPolygon edited="0">
                    <wp:start x="0" y="0"/>
                    <wp:lineTo x="0" y="21405"/>
                    <wp:lineTo x="21398" y="21405"/>
                    <wp:lineTo x="21398"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noFill/>
                          <a:miter lim="800000"/>
                          <a:headEnd/>
                          <a:tailEnd/>
                        </a:ln>
                      </wps:spPr>
                      <wps:txb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TW"/>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1019B3F2" id="文本框 2" o:spid="_x0000_s1027" type="#_x0000_t202" style="position:absolute;left:0;text-align:left;margin-left:8.6pt;margin-top:113.4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" stroked="f">
                <v:textbo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CN"/>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F71126" w:rsidRPr="00E974F3">
        <w:t xml:space="preserve">Deep learning </w:t>
      </w:r>
      <w:r w:rsidR="00F71126">
        <w:t xml:space="preserve">is an emerging technology that is now being deployed in a wide range of domains including Biomedical areas </w:t>
      </w:r>
      <w:r w:rsidR="00F71126">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rsidR="00F71126">
        <w:fldChar w:fldCharType="separate"/>
      </w:r>
      <w:r w:rsidR="007A6891">
        <w:rPr>
          <w:noProof/>
        </w:rPr>
        <w:t>[17-19]</w:t>
      </w:r>
      <w:r w:rsidR="00F71126">
        <w:fldChar w:fldCharType="end"/>
      </w:r>
      <w:r w:rsidR="00F71126">
        <w:t xml:space="preserve"> due </w:t>
      </w:r>
      <w:r w:rsidR="00F71126" w:rsidRPr="00E974F3">
        <w:t>its success in improving the previously recorded state-of-the-art performance measures</w:t>
      </w:r>
      <w:r w:rsidR="00F71126">
        <w:t>. Deep learn</w:t>
      </w:r>
      <w:r w:rsidR="00C83EC6">
        <w:t>ing</w:t>
      </w:r>
      <w:r w:rsidR="00F71126">
        <w:t xml:space="preserve"> is now becoming an indispensable part of any win</w:t>
      </w:r>
      <w:r w:rsidR="00D373BD">
        <w:t>n</w:t>
      </w:r>
      <w:r w:rsidR="00F71126">
        <w:t xml:space="preserve">ing model in today’s complex computational challenges. </w:t>
      </w:r>
      <w:r w:rsidR="00C83EC6">
        <w:t>L</w:t>
      </w:r>
      <w:r w:rsidR="00F71126">
        <w:t>ong short-term memory networks</w:t>
      </w:r>
      <w:r w:rsidR="00C83EC6">
        <w:t xml:space="preserve"> (LSTMs)</w:t>
      </w:r>
      <w:r w:rsidR="00F71126">
        <w:t xml:space="preserve"> </w:t>
      </w:r>
      <w:r w:rsidR="00F71126">
        <w:fldChar w:fldCharType="begin"/>
      </w:r>
      <w:r w:rsidR="00B1685C">
        <w:instrText xml:space="preserve"> ADDIN EN.CITE &lt;EndNote&gt;&lt;Cite&gt;&lt;Author&gt;Hochreiter&lt;/Author&gt;&lt;Year&gt;1997&lt;/Year&gt;&lt;RecNum&gt;167&lt;/RecNum&gt;&lt;DisplayText&gt;[20]&lt;/DisplayText&gt;&lt;record&gt;&lt;rec-number&gt;167&lt;/rec-number&gt;&lt;foreign-keys&gt;&lt;key app="EN" db-id="p2aprr0w7p9e5je2xpqv0e5ra5w5sdead5tp" timestamp="1491062763"&gt;167&lt;/key&gt;&lt;/foreign-keys&gt;&lt;ref-type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F71126">
        <w:fldChar w:fldCharType="separate"/>
      </w:r>
      <w:r w:rsidR="007A6891">
        <w:rPr>
          <w:noProof/>
        </w:rPr>
        <w:t>[20]</w:t>
      </w:r>
      <w:r w:rsidR="00F71126">
        <w:fldChar w:fldCharType="end"/>
      </w:r>
      <w:r w:rsidR="00F71126">
        <w:t xml:space="preserve"> are an </w:t>
      </w:r>
      <w:r w:rsidR="00F71126">
        <w:lastRenderedPageBreak/>
        <w:t xml:space="preserve">important class of deep architectures that are able to capture the temporal dynamics </w:t>
      </w:r>
      <w:r w:rsidR="00C83EC6">
        <w:t xml:space="preserve">of </w:t>
      </w:r>
      <w:r w:rsidR="00F71126">
        <w:t>sequential data</w:t>
      </w:r>
      <w:r w:rsidR="00C83EC6">
        <w:t xml:space="preserve">. LSTM networks have </w:t>
      </w:r>
      <w:r w:rsidR="004B4919">
        <w:t xml:space="preserve">recently </w:t>
      </w:r>
      <w:r w:rsidR="00C83EC6">
        <w:t xml:space="preserve">proved to outperform </w:t>
      </w:r>
      <w:r w:rsidR="004B4919">
        <w:t xml:space="preserve">surprisingly well in many traditional sequence learning algorithms, such as the hidden Markov models (HMMs) and conditional random fields (CRF), in supervised settings where significant amount of labeled data is available. As </w:t>
      </w:r>
      <w:r w:rsidR="00F71126">
        <w:t xml:space="preserve">such, </w:t>
      </w:r>
      <w:r w:rsidR="004B4919">
        <w:t xml:space="preserve">LSTMs </w:t>
      </w:r>
      <w:r w:rsidR="00F71126">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rsidR="00F71126">
        <w:t xml:space="preserve">These models have recently </w:t>
      </w:r>
      <w:r w:rsidR="000C4642">
        <w:t xml:space="preserve">attracted </w:t>
      </w:r>
      <w:r w:rsidR="00F71126">
        <w:t>significant</w:t>
      </w:r>
      <w:r w:rsidR="0099661B">
        <w:t xml:space="preserve"> attention and interest</w:t>
      </w:r>
      <w:r w:rsidR="00F71126">
        <w:t xml:space="preserve"> due to </w:t>
      </w:r>
      <w:r w:rsidR="000C4642">
        <w:t xml:space="preserve">the notable speed-ups grained from utilizing advanced </w:t>
      </w:r>
      <w:r w:rsidR="00F71126">
        <w:t>graphics processing units (GPUs)</w:t>
      </w:r>
      <w:r w:rsidR="0099661B">
        <w:t xml:space="preserve"> for computation</w:t>
      </w:r>
      <w:r w:rsidR="000C4642">
        <w:t xml:space="preserve">al tasks where simple matrix operations are massively repeated to generate the outcome of an algorithm. </w:t>
      </w:r>
    </w:p>
    <w:p w14:paraId="0F607247" w14:textId="77777777"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14:paraId="020CD44E" w14:textId="77777777" w:rsidR="00F71126" w:rsidRDefault="00AB45A9" w:rsidP="001F0C6F">
      <w:pPr>
        <w:pStyle w:val="BodyText"/>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SoftMax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w:t>
      </w:r>
      <w:r w:rsidR="001F0C6F">
        <w:t xml:space="preserve">That way the integrity of the codes </w:t>
      </w:r>
      <w:r w:rsidR="002017C1">
        <w:t>is</w:t>
      </w:r>
      <w:r w:rsidR="001F0C6F">
        <w:t xml:space="preserve"> not lost by blindly converting every condition into a single code.</w:t>
      </w:r>
    </w:p>
    <w:p w14:paraId="413964E4" w14:textId="77777777" w:rsidR="00C2692F" w:rsidRDefault="00B70DD8" w:rsidP="001D0236">
      <w:pPr>
        <w:pStyle w:val="Heading1"/>
      </w:pPr>
      <w:r w:rsidRPr="001D0236">
        <w:rPr>
          <w:smallCaps w:val="0"/>
          <w:noProof/>
          <w:lang w:eastAsia="zh-TW"/>
        </w:rPr>
        <mc:AlternateContent>
          <mc:Choice Requires="wps">
            <w:drawing>
              <wp:anchor distT="0" distB="0" distL="114300" distR="114300" simplePos="0" relativeHeight="251660800" behindDoc="1" locked="0" layoutInCell="1" allowOverlap="1" wp14:anchorId="6A23882A" wp14:editId="73B370D7">
                <wp:simplePos x="0" y="0"/>
                <wp:positionH relativeFrom="margin">
                  <wp:align>left</wp:align>
                </wp:positionH>
                <wp:positionV relativeFrom="paragraph">
                  <wp:posOffset>-5401945</wp:posOffset>
                </wp:positionV>
                <wp:extent cx="3561715" cy="2776855"/>
                <wp:effectExtent l="0" t="0" r="635" b="4445"/>
                <wp:wrapTight wrapText="bothSides">
                  <wp:wrapPolygon edited="0">
                    <wp:start x="0" y="0"/>
                    <wp:lineTo x="0" y="21486"/>
                    <wp:lineTo x="21488" y="21486"/>
                    <wp:lineTo x="2148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776855"/>
                        </a:xfrm>
                        <a:prstGeom prst="rect">
                          <a:avLst/>
                        </a:prstGeom>
                        <a:solidFill>
                          <a:srgbClr val="FFFFFF"/>
                        </a:solidFill>
                        <a:ln w="9525">
                          <a:noFill/>
                          <a:miter lim="800000"/>
                          <a:headEnd/>
                          <a:tailEnd/>
                        </a:ln>
                      </wps:spPr>
                      <wps:txb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882A" id="_x0000_s1028" type="#_x0000_t202" style="position:absolute;left:0;text-align:left;margin-left:0;margin-top:-425.35pt;width:280.45pt;height:2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" stroked="f">
                <v:textbo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CN"/>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v:textbox>
                <w10:wrap type="tight" anchorx="margin"/>
              </v:shape>
            </w:pict>
          </mc:Fallback>
        </mc:AlternateContent>
      </w:r>
      <w:r w:rsidR="001D0236">
        <w:t>Results</w:t>
      </w:r>
    </w:p>
    <w:p w14:paraId="51E04D48" w14:textId="77777777"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Then, to take advantage of the temporal 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14:paraId="54D95DAA" w14:textId="77777777" w:rsidR="00B1685C" w:rsidRDefault="00581157" w:rsidP="000F32D4">
      <w:pPr>
        <w:pStyle w:val="BodyText"/>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w:t>
      </w:r>
      <w:r w:rsidR="00D71505">
        <w:t xml:space="preserve">a </w:t>
      </w:r>
      <w:r w:rsidR="00956643">
        <w:t>2.56% improvement in</w:t>
      </w:r>
      <w:r w:rsidR="00D71505">
        <w:t xml:space="preserve"> the</w:t>
      </w:r>
      <w:r w:rsidR="00956643">
        <w:t xml:space="preserve">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w:t>
      </w:r>
      <w:r w:rsidR="00D71505">
        <w:t xml:space="preserve"> </w:t>
      </w:r>
      <w:r w:rsidR="00354BC3">
        <w:t>n</w:t>
      </w:r>
      <w:r w:rsidR="00D71505">
        <w:t>o</w:t>
      </w:r>
      <w:r w:rsidR="00354BC3">
        <w:t>t need to hand-craft features using ad-</w:t>
      </w:r>
      <w:r w:rsidR="00D71505">
        <w:t>hoc rules proposed by an expert. Instead</w:t>
      </w:r>
      <w:r w:rsidR="00354BC3">
        <w:t xml:space="preserve">, without having any intuition about the nature of the data, the LSTM network can learn the rules of its own. In fact, this observation has been confirmed in numerous other applications and is a key factor leading to the versatility of deep models, and </w:t>
      </w:r>
      <w:proofErr w:type="gramStart"/>
      <w:r w:rsidR="00354BC3">
        <w:t>LSTMs in particular</w:t>
      </w:r>
      <w:proofErr w:type="gramEnd"/>
      <w:r w:rsidR="00354BC3">
        <w:t>.</w:t>
      </w:r>
      <w:r w:rsidR="00B1685C" w:rsidRPr="00B1685C">
        <w:t xml:space="preserve"> </w:t>
      </w:r>
    </w:p>
    <w:p w14:paraId="25019475" w14:textId="29203D38" w:rsidR="00581157" w:rsidRPr="0001157F" w:rsidRDefault="00B1685C" w:rsidP="000F32D4">
      <w:pPr>
        <w:pStyle w:val="BodyText"/>
      </w:pPr>
      <w:r>
        <w:t xml:space="preserve">One important caveat of deep pipelines is the lack of interpretability. As opposed to many classical models such decision trees, deep models do not generate understandable rules that human can utilize to generalize the concept. </w:t>
      </w:r>
      <w:proofErr w:type="gramStart"/>
      <w:r>
        <w:t>In light of</w:t>
      </w:r>
      <w:proofErr w:type="gramEnd"/>
      <w:r>
        <w:t xml:space="preserve"> this shortcoming, we were interested to see how interpretable are the intermediate features that </w:t>
      </w:r>
      <w:proofErr w:type="spellStart"/>
      <w:r>
        <w:t>DeapDeath</w:t>
      </w:r>
      <w:proofErr w:type="spellEnd"/>
      <w:r>
        <w:t xml:space="preserve"> generate. To this end, upon training the model, we removed the SoftMax and the drop-out layers and applied the model to the test set and stored the intermediate features that the fully connected layer generates per each sample. Then, we marked each death either as a death caused by an infectious or parasitic disease </w:t>
      </w:r>
      <w:r w:rsidRPr="008F3F95">
        <w:t>(</w:t>
      </w:r>
      <w:r>
        <w:t xml:space="preserve">if the </w:t>
      </w:r>
      <w:r w:rsidRPr="008F3F95">
        <w:t xml:space="preserve">ICD-10 code </w:t>
      </w:r>
      <w:r>
        <w:t xml:space="preserve">for the underlying cause </w:t>
      </w:r>
      <w:r w:rsidRPr="008F3F95">
        <w:t>start</w:t>
      </w:r>
      <w:r>
        <w:t>s</w:t>
      </w:r>
      <w:r w:rsidRPr="008F3F95">
        <w:t xml:space="preserve"> with “A” or “B”)</w:t>
      </w:r>
      <w:r>
        <w:t xml:space="preserve"> or a non-infectious cause (i.e. all others). Next, we used </w:t>
      </w:r>
      <w:r w:rsidRPr="008F3F95">
        <w:t xml:space="preserve">t-SNE </w:t>
      </w:r>
      <w:r w:rsidRPr="008F3F95">
        <w:fldChar w:fldCharType="begin"/>
      </w:r>
      <w:r>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Pr="008F3F95">
        <w:fldChar w:fldCharType="separate"/>
      </w:r>
      <w:r>
        <w:rPr>
          <w:noProof/>
        </w:rPr>
        <w:t>[21]</w:t>
      </w:r>
      <w:r w:rsidRPr="008F3F95">
        <w:fldChar w:fldCharType="end"/>
      </w:r>
      <w:r>
        <w:t xml:space="preserve"> a popular visualization technique that maintains the locality of the samples, to map the features into</w:t>
      </w:r>
    </w:p>
    <w:p w14:paraId="48A9030D" w14:textId="77777777"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14:paraId="4C09BE17" w14:textId="77777777" w:rsidTr="00456B5C">
        <w:tc>
          <w:tcPr>
            <w:tcW w:w="723" w:type="dxa"/>
            <w:vMerge w:val="restart"/>
          </w:tcPr>
          <w:p w14:paraId="16E6EC8E" w14:textId="77777777" w:rsidR="00A94354" w:rsidRDefault="00A94354" w:rsidP="00A54191">
            <w:pPr>
              <w:pStyle w:val="tablecolhead"/>
            </w:pPr>
          </w:p>
          <w:p w14:paraId="340DCD77" w14:textId="77777777" w:rsidR="00A94354" w:rsidRPr="006E4421" w:rsidRDefault="00A94354" w:rsidP="00A54191">
            <w:pPr>
              <w:pStyle w:val="tablecolhead"/>
            </w:pPr>
          </w:p>
        </w:tc>
        <w:tc>
          <w:tcPr>
            <w:tcW w:w="3191" w:type="dxa"/>
            <w:gridSpan w:val="3"/>
            <w:vAlign w:val="center"/>
          </w:tcPr>
          <w:p w14:paraId="10902BD2" w14:textId="77777777" w:rsidR="00A94354" w:rsidRPr="006E4421" w:rsidRDefault="00A94354" w:rsidP="00A54191">
            <w:pPr>
              <w:pStyle w:val="tablecolhead"/>
            </w:pPr>
            <w:r w:rsidRPr="006E4421">
              <w:t>Random Forest on Hadoop</w:t>
            </w:r>
          </w:p>
        </w:tc>
        <w:tc>
          <w:tcPr>
            <w:tcW w:w="972" w:type="dxa"/>
            <w:vMerge w:val="restart"/>
          </w:tcPr>
          <w:p w14:paraId="05EDC5C0" w14:textId="77777777" w:rsidR="00A94354" w:rsidRDefault="00A94354" w:rsidP="00A54191">
            <w:pPr>
              <w:pStyle w:val="tablecolhead"/>
            </w:pPr>
          </w:p>
          <w:p w14:paraId="0DC7FB8B" w14:textId="77777777" w:rsidR="00A94354" w:rsidRPr="006E4421" w:rsidRDefault="00A94354" w:rsidP="00A54191">
            <w:pPr>
              <w:pStyle w:val="tablecolhead"/>
            </w:pPr>
            <w:proofErr w:type="spellStart"/>
            <w:r w:rsidRPr="006E4421">
              <w:t>DeepDeath</w:t>
            </w:r>
            <w:proofErr w:type="spellEnd"/>
          </w:p>
        </w:tc>
      </w:tr>
      <w:tr w:rsidR="00A94354" w14:paraId="5D66ABB4" w14:textId="77777777" w:rsidTr="00456B5C">
        <w:tc>
          <w:tcPr>
            <w:tcW w:w="723" w:type="dxa"/>
            <w:vMerge/>
          </w:tcPr>
          <w:p w14:paraId="2CCE53D8" w14:textId="77777777" w:rsidR="00A94354" w:rsidRDefault="00A94354" w:rsidP="006E4421">
            <w:pPr>
              <w:pStyle w:val="tablecolsubhead"/>
            </w:pPr>
          </w:p>
        </w:tc>
        <w:tc>
          <w:tcPr>
            <w:tcW w:w="1000" w:type="dxa"/>
          </w:tcPr>
          <w:p w14:paraId="027356FF" w14:textId="77777777" w:rsidR="00A94354" w:rsidRDefault="00A94354" w:rsidP="006E4421">
            <w:pPr>
              <w:pStyle w:val="tablecolsubhead"/>
            </w:pPr>
            <w:proofErr w:type="spellStart"/>
            <w:r>
              <w:t>UniGram</w:t>
            </w:r>
            <w:proofErr w:type="spellEnd"/>
          </w:p>
          <w:p w14:paraId="1DDD19BB" w14:textId="77777777" w:rsidR="00A94354" w:rsidRDefault="00A94354" w:rsidP="006E4421">
            <w:pPr>
              <w:pStyle w:val="tablecolsubhead"/>
            </w:pPr>
            <w:r>
              <w:t>(5000)</w:t>
            </w:r>
          </w:p>
        </w:tc>
        <w:tc>
          <w:tcPr>
            <w:tcW w:w="939" w:type="dxa"/>
          </w:tcPr>
          <w:p w14:paraId="4630CB0A" w14:textId="77777777" w:rsidR="00A94354" w:rsidRDefault="00A94354" w:rsidP="006E4421">
            <w:pPr>
              <w:pStyle w:val="tablecolsubhead"/>
            </w:pPr>
            <w:proofErr w:type="spellStart"/>
            <w:r>
              <w:t>BiGram</w:t>
            </w:r>
            <w:proofErr w:type="spellEnd"/>
          </w:p>
          <w:p w14:paraId="58EA20A3" w14:textId="77777777" w:rsidR="00A94354" w:rsidRDefault="00A94354" w:rsidP="006E4421">
            <w:pPr>
              <w:pStyle w:val="tablecolsubhead"/>
            </w:pPr>
            <w:r>
              <w:t>(5000)</w:t>
            </w:r>
          </w:p>
        </w:tc>
        <w:tc>
          <w:tcPr>
            <w:tcW w:w="1252" w:type="dxa"/>
          </w:tcPr>
          <w:p w14:paraId="28F2FD89" w14:textId="77777777" w:rsidR="00A94354" w:rsidRDefault="00A94354" w:rsidP="006E4421">
            <w:pPr>
              <w:pStyle w:val="tablecolsubhead"/>
            </w:pPr>
            <w:proofErr w:type="spellStart"/>
            <w:r>
              <w:t>Uni+BiGram</w:t>
            </w:r>
            <w:proofErr w:type="spellEnd"/>
          </w:p>
          <w:p w14:paraId="0CF52EF7" w14:textId="77777777" w:rsidR="00A94354" w:rsidRDefault="00A94354" w:rsidP="006E4421">
            <w:pPr>
              <w:pStyle w:val="tablecolsubhead"/>
            </w:pPr>
            <w:r>
              <w:t>(10000</w:t>
            </w:r>
            <w:r w:rsidR="0001157F">
              <w:t>)</w:t>
            </w:r>
          </w:p>
        </w:tc>
        <w:tc>
          <w:tcPr>
            <w:tcW w:w="972" w:type="dxa"/>
            <w:vMerge/>
          </w:tcPr>
          <w:p w14:paraId="35176411" w14:textId="77777777" w:rsidR="00A94354" w:rsidRDefault="00A94354" w:rsidP="006E4421"/>
        </w:tc>
      </w:tr>
      <w:tr w:rsidR="006E4421" w14:paraId="58FA567B" w14:textId="77777777" w:rsidTr="00456B5C">
        <w:tc>
          <w:tcPr>
            <w:tcW w:w="723" w:type="dxa"/>
          </w:tcPr>
          <w:p w14:paraId="46D5F5D3" w14:textId="77777777" w:rsidR="006E4421" w:rsidRDefault="0024063A" w:rsidP="00A150E3">
            <w:pPr>
              <w:pStyle w:val="tablecolhead"/>
            </w:pPr>
            <w:r>
              <w:lastRenderedPageBreak/>
              <w:t>ACC</w:t>
            </w:r>
          </w:p>
          <w:p w14:paraId="19448CE7" w14:textId="77777777" w:rsidR="007C48BD" w:rsidRDefault="007C48BD" w:rsidP="00A150E3">
            <w:pPr>
              <w:pStyle w:val="tablecolhead"/>
            </w:pPr>
            <w:r>
              <w:t>(67 classes)</w:t>
            </w:r>
          </w:p>
        </w:tc>
        <w:tc>
          <w:tcPr>
            <w:tcW w:w="1000" w:type="dxa"/>
          </w:tcPr>
          <w:p w14:paraId="75DE26F2" w14:textId="77777777" w:rsidR="007C48BD" w:rsidRDefault="007C48BD" w:rsidP="00A150E3">
            <w:pPr>
              <w:jc w:val="center"/>
            </w:pPr>
          </w:p>
          <w:p w14:paraId="6689187C" w14:textId="77777777" w:rsidR="006E4421" w:rsidRDefault="00A150E3" w:rsidP="00A150E3">
            <w:pPr>
              <w:jc w:val="center"/>
            </w:pPr>
            <w:r>
              <w:t>31.92%</w:t>
            </w:r>
          </w:p>
        </w:tc>
        <w:tc>
          <w:tcPr>
            <w:tcW w:w="939" w:type="dxa"/>
          </w:tcPr>
          <w:p w14:paraId="347D2F94" w14:textId="77777777" w:rsidR="007C48BD" w:rsidRDefault="007C48BD" w:rsidP="00A150E3">
            <w:pPr>
              <w:jc w:val="center"/>
            </w:pPr>
          </w:p>
          <w:p w14:paraId="41971523" w14:textId="77777777" w:rsidR="006E4421" w:rsidRDefault="00A150E3" w:rsidP="00A150E3">
            <w:pPr>
              <w:jc w:val="center"/>
            </w:pPr>
            <w:r>
              <w:t>22.11%</w:t>
            </w:r>
          </w:p>
        </w:tc>
        <w:tc>
          <w:tcPr>
            <w:tcW w:w="1252" w:type="dxa"/>
          </w:tcPr>
          <w:p w14:paraId="5C12A76B" w14:textId="77777777" w:rsidR="007C48BD" w:rsidRDefault="007C48BD" w:rsidP="00A150E3">
            <w:pPr>
              <w:jc w:val="center"/>
            </w:pPr>
          </w:p>
          <w:p w14:paraId="52ADAD8E" w14:textId="77777777" w:rsidR="006E4421" w:rsidRDefault="00EC0C6A" w:rsidP="00A150E3">
            <w:pPr>
              <w:jc w:val="center"/>
            </w:pPr>
            <w:r>
              <w:t>34.48%</w:t>
            </w:r>
          </w:p>
        </w:tc>
        <w:tc>
          <w:tcPr>
            <w:tcW w:w="972" w:type="dxa"/>
          </w:tcPr>
          <w:p w14:paraId="6BE7F9D3" w14:textId="77777777" w:rsidR="007C48BD" w:rsidRDefault="007C48BD" w:rsidP="00A150E3">
            <w:pPr>
              <w:jc w:val="center"/>
            </w:pPr>
          </w:p>
          <w:p w14:paraId="3D67FA4E" w14:textId="77777777" w:rsidR="006E4421" w:rsidRDefault="00EC0C6A" w:rsidP="00184CBD">
            <w:pPr>
              <w:jc w:val="center"/>
            </w:pPr>
            <w:r w:rsidRPr="0079461D">
              <w:rPr>
                <w:b/>
                <w:bCs/>
              </w:rPr>
              <w:t>36.9</w:t>
            </w:r>
            <w:r w:rsidR="00184CBD" w:rsidRPr="0079461D">
              <w:rPr>
                <w:b/>
                <w:bCs/>
              </w:rPr>
              <w:t>8</w:t>
            </w:r>
            <w:r>
              <w:t>%</w:t>
            </w:r>
          </w:p>
        </w:tc>
      </w:tr>
    </w:tbl>
    <w:p w14:paraId="16D485DA" w14:textId="51B0028D" w:rsidR="00456B5C" w:rsidRDefault="00456B5C" w:rsidP="00456B5C">
      <w:pPr>
        <w:jc w:val="both"/>
      </w:pPr>
    </w:p>
    <w:p w14:paraId="721FB583" w14:textId="33A359C9" w:rsidR="00456B5C" w:rsidRPr="001738EB" w:rsidRDefault="0006380A" w:rsidP="00541D30">
      <w:pPr>
        <w:pStyle w:val="BodyText"/>
      </w:pPr>
      <w:r>
        <w:t xml:space="preserve">a 2D plane. Our understanding is that </w:t>
      </w:r>
      <w:r w:rsidR="00456B5C" w:rsidRPr="008F3F95">
        <w:t>the patholog</w:t>
      </w:r>
      <w:r>
        <w:t>y</w:t>
      </w:r>
      <w:r w:rsidR="00456B5C" w:rsidRPr="008F3F95">
        <w:t xml:space="preserve"> and disease progression patterns of infectious and parasitic diseases are</w:t>
      </w:r>
      <w:r w:rsidR="003848A0">
        <w:t xml:space="preserve"> often</w:t>
      </w:r>
      <w:r w:rsidR="00456B5C" w:rsidRPr="008F3F95">
        <w:t xml:space="preserve"> different from other diseases. </w:t>
      </w:r>
      <w:r>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14:paraId="45836112" w14:textId="77777777" w:rsidR="00C2692F" w:rsidRDefault="00C2692F">
      <w:pPr>
        <w:pStyle w:val="Heading1"/>
      </w:pPr>
      <w:r>
        <w:t>Conclusion</w:t>
      </w:r>
      <w:r w:rsidR="006A58EE">
        <w:t xml:space="preserve"> and Discussion</w:t>
      </w:r>
    </w:p>
    <w:p w14:paraId="5C2FBA64" w14:textId="76688EB1"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14:paraId="2E0E79C7" w14:textId="66D9E516" w:rsidR="004B4919" w:rsidRDefault="009B46A1" w:rsidP="005A5A2F">
      <w:pPr>
        <w:pStyle w:val="Text"/>
      </w:pPr>
      <w:r>
        <w:t xml:space="preserve">This study sets the stage for a comprehensive decision support system that can </w:t>
      </w:r>
      <w:r w:rsidR="0039397B">
        <w:t xml:space="preserve">assist </w:t>
      </w:r>
      <w:r>
        <w:t xml:space="preserve">physicians and practitioners </w:t>
      </w:r>
      <w:r w:rsidR="0039397B">
        <w:t xml:space="preserve">in </w:t>
      </w:r>
      <w:r>
        <w:t>fill</w:t>
      </w:r>
      <w:r w:rsidR="0039397B">
        <w:t>ing</w:t>
      </w:r>
      <w:r>
        <w:t xml:space="preserve">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14:paraId="7A5B41CE" w14:textId="77777777" w:rsidR="00B17CC9" w:rsidRDefault="00B17CC9" w:rsidP="00B17CC9">
      <w:pPr>
        <w:pStyle w:val="ReferenceHead"/>
      </w:pPr>
      <w:r>
        <w:t>Acknowledgment</w:t>
      </w:r>
    </w:p>
    <w:p w14:paraId="1C802013" w14:textId="4F849836" w:rsidR="00B17CC9" w:rsidRDefault="006B2FD2" w:rsidP="006B2FD2">
      <w:pPr>
        <w:pStyle w:val="Text"/>
      </w:pPr>
      <w:r>
        <w:t xml:space="preserve">The authors would like to thank Paula A. Braun for her </w:t>
      </w:r>
      <w:r>
        <w:t>contribution to this research.</w:t>
      </w:r>
    </w:p>
    <w:p w14:paraId="7C628CE6" w14:textId="1CB854D4" w:rsidR="00C2692F" w:rsidRDefault="00B1685C">
      <w:pPr>
        <w:pStyle w:val="ReferenceHead"/>
      </w:pPr>
      <w:r>
        <w:rPr>
          <w:noProof/>
          <w:lang w:eastAsia="zh-TW"/>
        </w:rPr>
        <mc:AlternateContent>
          <mc:Choice Requires="wps">
            <w:drawing>
              <wp:anchor distT="0" distB="0" distL="114300" distR="114300" simplePos="0" relativeHeight="251673088" behindDoc="1" locked="0" layoutInCell="1" allowOverlap="1" wp14:anchorId="5515441E" wp14:editId="22123D1C">
                <wp:simplePos x="0" y="0"/>
                <wp:positionH relativeFrom="margin">
                  <wp:posOffset>38100</wp:posOffset>
                </wp:positionH>
                <wp:positionV relativeFrom="paragraph">
                  <wp:posOffset>-5666740</wp:posOffset>
                </wp:positionV>
                <wp:extent cx="3053080" cy="2456815"/>
                <wp:effectExtent l="0" t="0" r="0" b="635"/>
                <wp:wrapTight wrapText="bothSides">
                  <wp:wrapPolygon edited="0">
                    <wp:start x="0" y="0"/>
                    <wp:lineTo x="0" y="21438"/>
                    <wp:lineTo x="21429" y="21438"/>
                    <wp:lineTo x="21429"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noFill/>
                          <a:miter lim="800000"/>
                          <a:headEnd/>
                          <a:tailEnd/>
                        </a:ln>
                      </wps:spPr>
                      <wps:txb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TW"/>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441E" id="_x0000_s1029" type="#_x0000_t202" style="position:absolute;left:0;text-align:left;margin-left:3pt;margin-top:-446.2pt;width:240.4pt;height:193.4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" stroked="f">
                <v:textbo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CN"/>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C2692F">
        <w:t>References</w:t>
      </w:r>
    </w:p>
    <w:p w14:paraId="3F7CEF0F" w14:textId="77777777" w:rsidR="00B1685C" w:rsidRPr="00B1685C" w:rsidRDefault="00DE7DE9" w:rsidP="00B1685C">
      <w:pPr>
        <w:pStyle w:val="EndNoteBibliography"/>
        <w:ind w:left="720" w:hanging="720"/>
      </w:pPr>
      <w:r>
        <w:fldChar w:fldCharType="begin"/>
      </w:r>
      <w:r>
        <w:instrText xml:space="preserve"> ADDIN EN.REFLIST </w:instrText>
      </w:r>
      <w:r>
        <w:fldChar w:fldCharType="separate"/>
      </w:r>
      <w:r w:rsidR="00B1685C" w:rsidRPr="00B1685C">
        <w:t>[1]</w:t>
      </w:r>
      <w:r w:rsidR="00B1685C" w:rsidRPr="00B1685C">
        <w:tab/>
        <w:t xml:space="preserve">E. G. Brooks and K. D. Reed, "Principles and pitfalls: a guide to death certification," </w:t>
      </w:r>
      <w:r w:rsidR="00B1685C" w:rsidRPr="00B1685C">
        <w:rPr>
          <w:i/>
        </w:rPr>
        <w:t xml:space="preserve">Clinical medicine &amp; research, </w:t>
      </w:r>
      <w:r w:rsidR="00B1685C" w:rsidRPr="00B1685C">
        <w:t>vol. 13, pp. 74-82, 2015.</w:t>
      </w:r>
    </w:p>
    <w:p w14:paraId="0513C543" w14:textId="77777777" w:rsidR="00B1685C" w:rsidRPr="00B1685C" w:rsidRDefault="00B1685C" w:rsidP="00B1685C">
      <w:pPr>
        <w:pStyle w:val="EndNoteBibliography"/>
        <w:ind w:left="720" w:hanging="720"/>
      </w:pPr>
      <w:r w:rsidRPr="00B1685C">
        <w:t>[2]</w:t>
      </w:r>
      <w:r w:rsidRPr="00B1685C">
        <w:tab/>
        <w:t xml:space="preserve">P. Jha, "Counting the dead is one of the world’s best investments to reduce premature mortality," </w:t>
      </w:r>
      <w:r w:rsidRPr="00B1685C">
        <w:rPr>
          <w:i/>
        </w:rPr>
        <w:t xml:space="preserve">Hypothesis, </w:t>
      </w:r>
      <w:r w:rsidRPr="00B1685C">
        <w:t>vol. 10, p. e3, 2012.</w:t>
      </w:r>
    </w:p>
    <w:p w14:paraId="792CF054" w14:textId="77777777" w:rsidR="00B1685C" w:rsidRPr="00B1685C" w:rsidRDefault="00B1685C" w:rsidP="00B1685C">
      <w:pPr>
        <w:pStyle w:val="EndNoteBibliography"/>
        <w:ind w:left="720" w:hanging="720"/>
      </w:pPr>
      <w:r w:rsidRPr="00B1685C">
        <w:t>[3]</w:t>
      </w:r>
      <w:r w:rsidRPr="00B1685C">
        <w:tab/>
        <w:t xml:space="preserve">T. L. Chorba, R. C. Holman, M. J. Clarke, and B. L. Evatt, "Effects of HIV infection on age and cause of death for persons with hemophilia A in the United States," </w:t>
      </w:r>
      <w:r w:rsidRPr="00B1685C">
        <w:rPr>
          <w:i/>
        </w:rPr>
        <w:t xml:space="preserve">American journal of hematology, </w:t>
      </w:r>
      <w:r w:rsidRPr="00B1685C">
        <w:t>vol. 66, pp. 229-240, 2001.</w:t>
      </w:r>
    </w:p>
    <w:p w14:paraId="204A5CF0" w14:textId="77777777" w:rsidR="00B1685C" w:rsidRPr="00B1685C" w:rsidRDefault="00B1685C" w:rsidP="00B1685C">
      <w:pPr>
        <w:pStyle w:val="EndNoteBibliography"/>
        <w:ind w:left="720" w:hanging="720"/>
      </w:pPr>
      <w:r w:rsidRPr="00B1685C">
        <w:t>[4]</w:t>
      </w:r>
      <w:r w:rsidRPr="00B1685C">
        <w:tab/>
        <w:t xml:space="preserve">W. C. Hooper, R. C. Holman, M. Clarke, and T. L. Chorba, "Trends in non‐hodgkin lymphoma (NHL) and HIV‐associated NHL deaths in the United States," </w:t>
      </w:r>
      <w:r w:rsidRPr="00B1685C">
        <w:rPr>
          <w:i/>
        </w:rPr>
        <w:t xml:space="preserve">American journal of hematology, </w:t>
      </w:r>
      <w:r w:rsidRPr="00B1685C">
        <w:t>vol. 66, pp. 159-166, 2001.</w:t>
      </w:r>
    </w:p>
    <w:p w14:paraId="3EBF959A" w14:textId="77777777" w:rsidR="00B1685C" w:rsidRPr="00B1685C" w:rsidRDefault="00B1685C" w:rsidP="00B1685C">
      <w:pPr>
        <w:pStyle w:val="EndNoteBibliography"/>
        <w:ind w:left="720" w:hanging="720"/>
      </w:pPr>
      <w:r w:rsidRPr="00B1685C">
        <w:t>[5]</w:t>
      </w:r>
      <w:r w:rsidRPr="00B1685C">
        <w:tab/>
        <w:t xml:space="preserve">D. M. Mannino, C. Brown, and G. A. Giovino, "Obstructive lung disease deaths in the United States from 1979 through 1993: an analysis using multiple-cause mortality data," </w:t>
      </w:r>
      <w:r w:rsidRPr="00B1685C">
        <w:rPr>
          <w:i/>
        </w:rPr>
        <w:t xml:space="preserve">American journal of respiratory and critical care medicine, </w:t>
      </w:r>
      <w:r w:rsidRPr="00B1685C">
        <w:t>vol. 156, pp. 814-818, 1997.</w:t>
      </w:r>
    </w:p>
    <w:p w14:paraId="627DF8CE" w14:textId="77777777" w:rsidR="00B1685C" w:rsidRPr="00B1685C" w:rsidRDefault="00B1685C" w:rsidP="00B1685C">
      <w:pPr>
        <w:pStyle w:val="EndNoteBibliography"/>
        <w:ind w:left="720" w:hanging="720"/>
      </w:pPr>
      <w:r w:rsidRPr="00B1685C">
        <w:t>[6]</w:t>
      </w:r>
      <w:r w:rsidRPr="00B1685C">
        <w:tab/>
        <w:t>C. Gordon, "Australian Bureau of Statistics, Multiple cause of death analysis. Publication 3319.0. 55.001," ed, 2003.</w:t>
      </w:r>
    </w:p>
    <w:p w14:paraId="55ED9C49" w14:textId="77777777" w:rsidR="00B1685C" w:rsidRPr="00B1685C" w:rsidRDefault="00B1685C" w:rsidP="00B1685C">
      <w:pPr>
        <w:pStyle w:val="EndNoteBibliography"/>
        <w:ind w:left="720" w:hanging="720"/>
      </w:pPr>
      <w:r w:rsidRPr="00B1685C">
        <w:t>[7]</w:t>
      </w:r>
      <w:r w:rsidRPr="00B1685C">
        <w:tab/>
        <w:t xml:space="preserve">S. Bah and M. M. Rahman, "Measures of multiple-cause mortality: a synthesis and a notational framework," </w:t>
      </w:r>
      <w:r w:rsidRPr="00B1685C">
        <w:rPr>
          <w:i/>
        </w:rPr>
        <w:t xml:space="preserve">Genus, </w:t>
      </w:r>
      <w:r w:rsidRPr="00B1685C">
        <w:t>vol. 65, pp. 29-43, 2009.</w:t>
      </w:r>
    </w:p>
    <w:p w14:paraId="71C8E5F6" w14:textId="77777777" w:rsidR="00B1685C" w:rsidRPr="00B1685C" w:rsidRDefault="00B1685C" w:rsidP="00B1685C">
      <w:pPr>
        <w:pStyle w:val="EndNoteBibliography"/>
        <w:ind w:left="720" w:hanging="720"/>
      </w:pPr>
      <w:r w:rsidRPr="00B1685C">
        <w:t>[8]</w:t>
      </w:r>
      <w:r w:rsidRPr="00B1685C">
        <w:tab/>
        <w:t xml:space="preserve">W. H. Organization, </w:t>
      </w:r>
      <w:r w:rsidRPr="00B1685C">
        <w:rPr>
          <w:i/>
        </w:rPr>
        <w:t>International statistical classification of diseases and related health problems</w:t>
      </w:r>
      <w:r w:rsidRPr="00B1685C">
        <w:t xml:space="preserve"> vol. 1: World Health Organization, 2004.</w:t>
      </w:r>
    </w:p>
    <w:p w14:paraId="6821CCA0" w14:textId="77777777" w:rsidR="00B1685C" w:rsidRPr="00B1685C" w:rsidRDefault="00B1685C" w:rsidP="00B1685C">
      <w:pPr>
        <w:pStyle w:val="EndNoteBibliography"/>
        <w:ind w:left="720" w:hanging="720"/>
      </w:pPr>
      <w:r w:rsidRPr="00B1685C">
        <w:t>[9]</w:t>
      </w:r>
      <w:r w:rsidRPr="00B1685C">
        <w:tab/>
        <w:t xml:space="preserve">R. A. Israel, H. M. Rosenberg, and L. R. Curtin, "Analytical potential for multiple cause-of-death data," </w:t>
      </w:r>
      <w:r w:rsidRPr="00B1685C">
        <w:rPr>
          <w:i/>
        </w:rPr>
        <w:t xml:space="preserve">American journal of epidemiology, </w:t>
      </w:r>
      <w:r w:rsidRPr="00B1685C">
        <w:t>vol. 124, pp. 161-81, 1986.</w:t>
      </w:r>
    </w:p>
    <w:p w14:paraId="59BBE062" w14:textId="77777777" w:rsidR="00B1685C" w:rsidRPr="00B1685C" w:rsidRDefault="00B1685C" w:rsidP="00B1685C">
      <w:pPr>
        <w:pStyle w:val="EndNoteBibliography"/>
        <w:ind w:left="720" w:hanging="720"/>
      </w:pPr>
      <w:r w:rsidRPr="00B1685C">
        <w:t>[10]</w:t>
      </w:r>
      <w:r w:rsidRPr="00B1685C">
        <w:tab/>
        <w:t xml:space="preserve">P. F. Brown, P. V. Desouza, R. L. Mercer, V. J. D. Pietra, and J. C. Lai, "Class-based n-gram models of natural language," </w:t>
      </w:r>
      <w:r w:rsidRPr="00B1685C">
        <w:rPr>
          <w:i/>
        </w:rPr>
        <w:t xml:space="preserve">Computational linguistics, </w:t>
      </w:r>
      <w:r w:rsidRPr="00B1685C">
        <w:t>vol. 18, pp. 467-479, 1992.</w:t>
      </w:r>
    </w:p>
    <w:p w14:paraId="391BC13B" w14:textId="77777777" w:rsidR="00B1685C" w:rsidRPr="00B1685C" w:rsidRDefault="00B1685C" w:rsidP="00B1685C">
      <w:pPr>
        <w:pStyle w:val="EndNoteBibliography"/>
        <w:ind w:left="720" w:hanging="720"/>
      </w:pPr>
      <w:r w:rsidRPr="00B1685C">
        <w:t>[11]</w:t>
      </w:r>
      <w:r w:rsidRPr="00B1685C">
        <w:tab/>
        <w:t xml:space="preserve">A. Pak and P. Paroubek, "Twitter as a Corpus for Sentiment Analysis and Opinion Mining," in </w:t>
      </w:r>
      <w:r w:rsidRPr="00B1685C">
        <w:rPr>
          <w:i/>
        </w:rPr>
        <w:t>LREc</w:t>
      </w:r>
      <w:r w:rsidRPr="00B1685C">
        <w:t>, 2010.</w:t>
      </w:r>
    </w:p>
    <w:p w14:paraId="170BF6FA" w14:textId="77777777" w:rsidR="00B1685C" w:rsidRPr="00B1685C" w:rsidRDefault="00B1685C" w:rsidP="00B1685C">
      <w:pPr>
        <w:pStyle w:val="EndNoteBibliography"/>
        <w:ind w:left="720" w:hanging="720"/>
      </w:pPr>
      <w:r w:rsidRPr="00B1685C">
        <w:t>[12]</w:t>
      </w:r>
      <w:r w:rsidRPr="00B1685C">
        <w:tab/>
        <w:t xml:space="preserve">B. J. Marafino, J. M. Davies, N. S. Bardach, M. L. Dean, R. A. Dudley, and J. Boscardin, "N-gram support vector machines for scalable procedure and diagnosis classification, with applications to clinical free text data from the intensive care unit," </w:t>
      </w:r>
      <w:r w:rsidRPr="00B1685C">
        <w:rPr>
          <w:i/>
        </w:rPr>
        <w:t xml:space="preserve">Journal of the American Medical Informatics Association, </w:t>
      </w:r>
      <w:r w:rsidRPr="00B1685C">
        <w:t>vol. 21, pp. 871-875, 2014.</w:t>
      </w:r>
    </w:p>
    <w:p w14:paraId="19E2749F" w14:textId="77777777" w:rsidR="00B1685C" w:rsidRPr="00B1685C" w:rsidRDefault="00B1685C" w:rsidP="00B1685C">
      <w:pPr>
        <w:pStyle w:val="EndNoteBibliography"/>
        <w:ind w:left="720" w:hanging="720"/>
      </w:pPr>
      <w:r w:rsidRPr="00B1685C">
        <w:t>[13]</w:t>
      </w:r>
      <w:r w:rsidRPr="00B1685C">
        <w:tab/>
        <w:t xml:space="preserve">V. Kešelj, F. Peng, N. Cercone, and C. Thomas, "N-gram-based author profiles for authorship attribution," in </w:t>
      </w:r>
      <w:r w:rsidRPr="00B1685C">
        <w:rPr>
          <w:i/>
        </w:rPr>
        <w:t>Proceedings of the conference pacific association for computational linguistics, PACLING</w:t>
      </w:r>
      <w:r w:rsidRPr="00B1685C">
        <w:t>, 2003, pp. 255-264.</w:t>
      </w:r>
    </w:p>
    <w:p w14:paraId="4834440B" w14:textId="77777777" w:rsidR="00B1685C" w:rsidRPr="00B1685C" w:rsidRDefault="00B1685C" w:rsidP="00B1685C">
      <w:pPr>
        <w:pStyle w:val="EndNoteBibliography"/>
        <w:ind w:left="720" w:hanging="720"/>
      </w:pPr>
      <w:r w:rsidRPr="00B1685C">
        <w:t>[14]</w:t>
      </w:r>
      <w:r w:rsidRPr="00B1685C">
        <w:tab/>
        <w:t xml:space="preserve">A. Tomović, P. Janičić, and V. Kešelj, "n-Gram-based classification and unsupervised hierarchical clustering of genome sequences," </w:t>
      </w:r>
      <w:r w:rsidRPr="00B1685C">
        <w:rPr>
          <w:i/>
        </w:rPr>
        <w:t xml:space="preserve">Computer methods and programs in biomedicine, </w:t>
      </w:r>
      <w:r w:rsidRPr="00B1685C">
        <w:t>vol. 81, pp. 137-153, 2006.</w:t>
      </w:r>
    </w:p>
    <w:p w14:paraId="581D8CF8" w14:textId="77777777" w:rsidR="00B1685C" w:rsidRPr="00B1685C" w:rsidRDefault="00B1685C" w:rsidP="00B1685C">
      <w:pPr>
        <w:pStyle w:val="EndNoteBibliography"/>
        <w:ind w:left="720" w:hanging="720"/>
      </w:pPr>
      <w:r w:rsidRPr="00B1685C">
        <w:t>[15]</w:t>
      </w:r>
      <w:r w:rsidRPr="00B1685C">
        <w:tab/>
        <w:t xml:space="preserve">B. Wajid and E. Serpedin, "Review of general algorithmic features for genome assemblers for next generation sequencers," </w:t>
      </w:r>
      <w:r w:rsidRPr="00B1685C">
        <w:rPr>
          <w:i/>
        </w:rPr>
        <w:t xml:space="preserve">Genomics, proteomics &amp; bioinformatics, </w:t>
      </w:r>
      <w:r w:rsidRPr="00B1685C">
        <w:t>vol. 10, pp. 58-73, 2012.</w:t>
      </w:r>
    </w:p>
    <w:p w14:paraId="5BEC8A8A" w14:textId="77777777" w:rsidR="00B1685C" w:rsidRPr="00B1685C" w:rsidRDefault="00B1685C" w:rsidP="00B1685C">
      <w:pPr>
        <w:pStyle w:val="EndNoteBibliography"/>
        <w:ind w:left="720" w:hanging="720"/>
      </w:pPr>
      <w:r w:rsidRPr="00B1685C">
        <w:t>[16]</w:t>
      </w:r>
      <w:r w:rsidRPr="00B1685C">
        <w:tab/>
        <w:t xml:space="preserve">J. Dean and S. Ghemawat, "MapReduce: simplified data processing on large clusters," </w:t>
      </w:r>
      <w:r w:rsidRPr="00B1685C">
        <w:rPr>
          <w:i/>
        </w:rPr>
        <w:t xml:space="preserve">Communications of the ACM, </w:t>
      </w:r>
      <w:r w:rsidRPr="00B1685C">
        <w:t>vol. 51, pp. 107-113, 2008.</w:t>
      </w:r>
    </w:p>
    <w:p w14:paraId="3E8046A4" w14:textId="77777777" w:rsidR="00B1685C" w:rsidRPr="00B1685C" w:rsidRDefault="00B1685C" w:rsidP="00B1685C">
      <w:pPr>
        <w:pStyle w:val="EndNoteBibliography"/>
        <w:ind w:left="720" w:hanging="720"/>
      </w:pPr>
      <w:r w:rsidRPr="00B1685C">
        <w:t>[17]</w:t>
      </w:r>
      <w:r w:rsidRPr="00B1685C">
        <w:tab/>
        <w:t xml:space="preserve">Y. Park and M. Kellis, "Deep learning for regulatory genomics," </w:t>
      </w:r>
      <w:r w:rsidRPr="00B1685C">
        <w:rPr>
          <w:i/>
        </w:rPr>
        <w:t xml:space="preserve">Nat Biotechnol, </w:t>
      </w:r>
      <w:r w:rsidRPr="00B1685C">
        <w:t>vol. 33, pp. 825-6, 2015.</w:t>
      </w:r>
    </w:p>
    <w:p w14:paraId="0725BF97" w14:textId="77777777" w:rsidR="00B1685C" w:rsidRPr="00B1685C" w:rsidRDefault="00B1685C" w:rsidP="00B1685C">
      <w:pPr>
        <w:pStyle w:val="EndNoteBibliography"/>
        <w:ind w:left="720" w:hanging="720"/>
      </w:pPr>
      <w:r w:rsidRPr="00B1685C">
        <w:t>[18]</w:t>
      </w:r>
      <w:r w:rsidRPr="00B1685C">
        <w:tab/>
        <w:t>H. R. Hassanzadeh and M. D. Wang, "DeeperBind: Enhancing Prediction of Sequence Specificities of DNA Binding Proteins," presented at the Bioinformatics and Biomedicine (BIBM), 2016 IEEE International Conference on, 2016.</w:t>
      </w:r>
    </w:p>
    <w:p w14:paraId="66524577" w14:textId="77777777" w:rsidR="00B1685C" w:rsidRPr="00B1685C" w:rsidRDefault="00B1685C" w:rsidP="00B1685C">
      <w:pPr>
        <w:pStyle w:val="EndNoteBibliography"/>
        <w:ind w:left="720" w:hanging="720"/>
      </w:pPr>
      <w:r w:rsidRPr="00B1685C">
        <w:t>[19]</w:t>
      </w:r>
      <w:r w:rsidRPr="00B1685C">
        <w:tab/>
        <w:t xml:space="preserve">B. Alipanahi, A. Delong, M. T. Weirauch, and B. J. Frey, "Predicting the sequence specificities of DNA-and RNA-binding proteins by deep learning," </w:t>
      </w:r>
      <w:r w:rsidRPr="00B1685C">
        <w:rPr>
          <w:i/>
        </w:rPr>
        <w:t xml:space="preserve">Nature biotechnology, </w:t>
      </w:r>
      <w:r w:rsidRPr="00B1685C">
        <w:t>vol. 33, pp. 831-838, 2015.</w:t>
      </w:r>
    </w:p>
    <w:p w14:paraId="6CB93569" w14:textId="77777777" w:rsidR="00B1685C" w:rsidRPr="00B1685C" w:rsidRDefault="00B1685C" w:rsidP="00B1685C">
      <w:pPr>
        <w:pStyle w:val="EndNoteBibliography"/>
        <w:ind w:left="720" w:hanging="720"/>
      </w:pPr>
      <w:r w:rsidRPr="00B1685C">
        <w:t>[20]</w:t>
      </w:r>
      <w:r w:rsidRPr="00B1685C">
        <w:tab/>
        <w:t xml:space="preserve">S. Hochreiter and J. Schmidhuber, "Long short-term memory," </w:t>
      </w:r>
      <w:r w:rsidRPr="00B1685C">
        <w:rPr>
          <w:i/>
        </w:rPr>
        <w:t xml:space="preserve">Neural computation, </w:t>
      </w:r>
      <w:r w:rsidRPr="00B1685C">
        <w:t>vol. 9, pp. 1735-1780, 1997.</w:t>
      </w:r>
    </w:p>
    <w:p w14:paraId="59ED5475" w14:textId="77777777" w:rsidR="00B1685C" w:rsidRPr="00B1685C" w:rsidRDefault="00B1685C" w:rsidP="00B1685C">
      <w:pPr>
        <w:pStyle w:val="EndNoteBibliography"/>
        <w:ind w:left="720" w:hanging="720"/>
      </w:pPr>
      <w:r w:rsidRPr="00B1685C">
        <w:t>[21]</w:t>
      </w:r>
      <w:r w:rsidRPr="00B1685C">
        <w:tab/>
        <w:t xml:space="preserve">L. v. d. Maaten and G. Hinton, "Visualizing data using t-SNE," </w:t>
      </w:r>
      <w:r w:rsidRPr="00B1685C">
        <w:rPr>
          <w:i/>
        </w:rPr>
        <w:t xml:space="preserve">Journal of Machine Learning Research, </w:t>
      </w:r>
      <w:r w:rsidRPr="00B1685C">
        <w:t>vol. 9, pp. 2579-2605, 2008.</w:t>
      </w:r>
    </w:p>
    <w:p w14:paraId="462384AD" w14:textId="1842E8E5" w:rsidR="00C2692F" w:rsidRPr="007A28F1" w:rsidRDefault="00DE7DE9" w:rsidP="008E1460">
      <w:pPr>
        <w:pStyle w:val="References"/>
        <w:numPr>
          <w:ilvl w:val="0"/>
          <w:numId w:val="0"/>
        </w:numPr>
        <w:ind w:left="360" w:hanging="360"/>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93F30" w14:textId="77777777" w:rsidR="00634A36" w:rsidRDefault="00634A36">
      <w:r>
        <w:separator/>
      </w:r>
    </w:p>
  </w:endnote>
  <w:endnote w:type="continuationSeparator" w:id="0">
    <w:p w14:paraId="0A9131E1" w14:textId="77777777" w:rsidR="00634A36" w:rsidRDefault="0063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7DB2A" w14:textId="77777777" w:rsidR="00634A36" w:rsidRDefault="00634A36"/>
  </w:footnote>
  <w:footnote w:type="continuationSeparator" w:id="0">
    <w:p w14:paraId="0951903B" w14:textId="77777777" w:rsidR="00634A36" w:rsidRDefault="00634A36">
      <w:r>
        <w:continuationSeparator/>
      </w:r>
    </w:p>
  </w:footnote>
  <w:footnote w:id="1">
    <w:p w14:paraId="21AFA8FE" w14:textId="77777777" w:rsidR="00766F78" w:rsidRDefault="00766F78" w:rsidP="00766F78">
      <w:pPr>
        <w:pStyle w:val="FootnoteText"/>
      </w:pPr>
      <w:r>
        <w:t>*This work was supported in part by grants from the US Department of Health and Human Services (HHS) Centers for Disease Control and Prevention (CDC) HHSD2002015F62550B, National Science Foundation Award NSF1651, and Microsoft Research and Hewlett Packard. This article does not reflect the official policy or opinions of the CDC, NSF, or the US Department of HHS and does not constitute an endorsement of the individuals or their programs.</w:t>
      </w:r>
    </w:p>
    <w:p w14:paraId="4752DA84" w14:textId="078E1C35" w:rsidR="0006380A" w:rsidRDefault="0006380A" w:rsidP="00766F78">
      <w:pPr>
        <w:pStyle w:val="FootnoteText"/>
      </w:pPr>
    </w:p>
    <w:p w14:paraId="5095D238" w14:textId="77777777"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14:paraId="1EAE8723" w14:textId="77777777"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14:paraId="459F624F" w14:textId="77777777"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3"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B23D" w14:textId="77777777" w:rsidR="0006380A" w:rsidRDefault="0006380A">
    <w:pPr>
      <w:framePr w:wrap="auto" w:vAnchor="text" w:hAnchor="margin" w:xAlign="right" w:y="1"/>
    </w:pPr>
  </w:p>
  <w:p w14:paraId="4FC5C226" w14:textId="77777777"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E6EA639A"/>
    <w:lvl w:ilvl="0" w:tplc="2C8079B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staAHfaM70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aprr0w7p9e5je2xpqv0e5ra5w5sdead5tp&quot;&gt;deep learning&lt;record-ids&gt;&lt;item&gt;131&lt;/item&gt;&lt;item&gt;132&lt;/item&gt;&lt;item&gt;133&lt;/item&gt;&lt;item&gt;134&lt;/item&gt;&lt;item&gt;137&lt;/item&gt;&lt;item&gt;138&lt;/item&gt;&lt;item&gt;139&lt;/item&gt;&lt;item&gt;147&lt;/item&gt;&lt;item&gt;148&lt;/item&gt;&lt;item&gt;157&lt;/item&gt;&lt;item&gt;167&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B04F0"/>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97B"/>
    <w:rsid w:val="0039612E"/>
    <w:rsid w:val="003967E8"/>
    <w:rsid w:val="003A5993"/>
    <w:rsid w:val="003D6FB4"/>
    <w:rsid w:val="003E4BB5"/>
    <w:rsid w:val="003E7634"/>
    <w:rsid w:val="00411BBD"/>
    <w:rsid w:val="004174DF"/>
    <w:rsid w:val="0042303C"/>
    <w:rsid w:val="0042500D"/>
    <w:rsid w:val="00430366"/>
    <w:rsid w:val="00442D0D"/>
    <w:rsid w:val="00456B5C"/>
    <w:rsid w:val="004B00EA"/>
    <w:rsid w:val="004B2AD6"/>
    <w:rsid w:val="004B4919"/>
    <w:rsid w:val="004C0679"/>
    <w:rsid w:val="004C7E61"/>
    <w:rsid w:val="004E66FC"/>
    <w:rsid w:val="00541D30"/>
    <w:rsid w:val="0054509B"/>
    <w:rsid w:val="00546F2D"/>
    <w:rsid w:val="00566873"/>
    <w:rsid w:val="00566BCA"/>
    <w:rsid w:val="00581157"/>
    <w:rsid w:val="00587EBA"/>
    <w:rsid w:val="005A5A2F"/>
    <w:rsid w:val="005B52A1"/>
    <w:rsid w:val="005C14C0"/>
    <w:rsid w:val="00601FA1"/>
    <w:rsid w:val="00634A36"/>
    <w:rsid w:val="006350B6"/>
    <w:rsid w:val="00653808"/>
    <w:rsid w:val="00667735"/>
    <w:rsid w:val="00692B96"/>
    <w:rsid w:val="006A58EE"/>
    <w:rsid w:val="006B2FD2"/>
    <w:rsid w:val="006B7F35"/>
    <w:rsid w:val="006C5653"/>
    <w:rsid w:val="006E4421"/>
    <w:rsid w:val="0072340F"/>
    <w:rsid w:val="00726B25"/>
    <w:rsid w:val="00736BBF"/>
    <w:rsid w:val="00766F78"/>
    <w:rsid w:val="0078326C"/>
    <w:rsid w:val="0079461D"/>
    <w:rsid w:val="007A207E"/>
    <w:rsid w:val="007A6891"/>
    <w:rsid w:val="007C48BD"/>
    <w:rsid w:val="007C713D"/>
    <w:rsid w:val="007F61BC"/>
    <w:rsid w:val="0080390D"/>
    <w:rsid w:val="0083029B"/>
    <w:rsid w:val="008340B8"/>
    <w:rsid w:val="00857E1A"/>
    <w:rsid w:val="00866A33"/>
    <w:rsid w:val="00866F05"/>
    <w:rsid w:val="008708E1"/>
    <w:rsid w:val="008A0045"/>
    <w:rsid w:val="008D68B2"/>
    <w:rsid w:val="008D7ABF"/>
    <w:rsid w:val="008E1460"/>
    <w:rsid w:val="008F08DE"/>
    <w:rsid w:val="008F3F95"/>
    <w:rsid w:val="009027E2"/>
    <w:rsid w:val="00925E1D"/>
    <w:rsid w:val="00926768"/>
    <w:rsid w:val="00927FF9"/>
    <w:rsid w:val="009378F6"/>
    <w:rsid w:val="00942CBC"/>
    <w:rsid w:val="00956643"/>
    <w:rsid w:val="009570C0"/>
    <w:rsid w:val="00963154"/>
    <w:rsid w:val="0098250C"/>
    <w:rsid w:val="00983A75"/>
    <w:rsid w:val="00995543"/>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4673"/>
    <w:rsid w:val="00AC7CDC"/>
    <w:rsid w:val="00B1450A"/>
    <w:rsid w:val="00B1685C"/>
    <w:rsid w:val="00B17CC9"/>
    <w:rsid w:val="00B63EE3"/>
    <w:rsid w:val="00B67B4E"/>
    <w:rsid w:val="00B70DD8"/>
    <w:rsid w:val="00B75E06"/>
    <w:rsid w:val="00BC7E30"/>
    <w:rsid w:val="00BD4D31"/>
    <w:rsid w:val="00BF5CD1"/>
    <w:rsid w:val="00C2692F"/>
    <w:rsid w:val="00C578F8"/>
    <w:rsid w:val="00C83EC6"/>
    <w:rsid w:val="00C92278"/>
    <w:rsid w:val="00CC4057"/>
    <w:rsid w:val="00D01553"/>
    <w:rsid w:val="00D11CC1"/>
    <w:rsid w:val="00D373BD"/>
    <w:rsid w:val="00D5304F"/>
    <w:rsid w:val="00D71505"/>
    <w:rsid w:val="00D732EA"/>
    <w:rsid w:val="00D90EAB"/>
    <w:rsid w:val="00DA1A52"/>
    <w:rsid w:val="00DA4866"/>
    <w:rsid w:val="00DB3DAA"/>
    <w:rsid w:val="00DB5472"/>
    <w:rsid w:val="00DE7DE9"/>
    <w:rsid w:val="00E10036"/>
    <w:rsid w:val="00E5442C"/>
    <w:rsid w:val="00E57460"/>
    <w:rsid w:val="00E70141"/>
    <w:rsid w:val="00E91A13"/>
    <w:rsid w:val="00EA58F8"/>
    <w:rsid w:val="00EA67E4"/>
    <w:rsid w:val="00EC0C6A"/>
    <w:rsid w:val="00EC5A50"/>
    <w:rsid w:val="00EE7FED"/>
    <w:rsid w:val="00F016FD"/>
    <w:rsid w:val="00F01750"/>
    <w:rsid w:val="00F0502D"/>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3C78"/>
  <w15:docId w15:val="{9C224A55-95F7-4234-B737-C2AA8444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 w:type="character" w:styleId="CommentReference">
    <w:name w:val="annotation reference"/>
    <w:basedOn w:val="DefaultParagraphFont"/>
    <w:semiHidden/>
    <w:unhideWhenUsed/>
    <w:rsid w:val="00B70DD8"/>
    <w:rPr>
      <w:sz w:val="16"/>
      <w:szCs w:val="16"/>
    </w:rPr>
  </w:style>
  <w:style w:type="paragraph" w:styleId="CommentText">
    <w:name w:val="annotation text"/>
    <w:basedOn w:val="Normal"/>
    <w:link w:val="CommentTextChar"/>
    <w:semiHidden/>
    <w:unhideWhenUsed/>
    <w:rsid w:val="00B70DD8"/>
  </w:style>
  <w:style w:type="character" w:customStyle="1" w:styleId="CommentTextChar">
    <w:name w:val="Comment Text Char"/>
    <w:basedOn w:val="DefaultParagraphFont"/>
    <w:link w:val="CommentText"/>
    <w:semiHidden/>
    <w:rsid w:val="00B70DD8"/>
  </w:style>
  <w:style w:type="paragraph" w:styleId="CommentSubject">
    <w:name w:val="annotation subject"/>
    <w:basedOn w:val="CommentText"/>
    <w:next w:val="CommentText"/>
    <w:link w:val="CommentSubjectChar"/>
    <w:semiHidden/>
    <w:unhideWhenUsed/>
    <w:rsid w:val="00B70DD8"/>
    <w:rPr>
      <w:b/>
      <w:bCs/>
    </w:rPr>
  </w:style>
  <w:style w:type="character" w:customStyle="1" w:styleId="CommentSubjectChar">
    <w:name w:val="Comment Subject Char"/>
    <w:basedOn w:val="CommentTextChar"/>
    <w:link w:val="CommentSubject"/>
    <w:semiHidden/>
    <w:rsid w:val="00B7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mailto:maywang@bme.gatech.edu"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B8E6D-F212-4923-8D57-8A99B182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2</TotalTime>
  <Pages>1</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Hassanzadeh, Hamid Reza</cp:lastModifiedBy>
  <cp:revision>6</cp:revision>
  <cp:lastPrinted>2017-02-19T16:58:00Z</cp:lastPrinted>
  <dcterms:created xsi:type="dcterms:W3CDTF">2017-04-27T19:04:00Z</dcterms:created>
  <dcterms:modified xsi:type="dcterms:W3CDTF">2017-05-05T22:36:00Z</dcterms:modified>
</cp:coreProperties>
</file>