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455629" w14:textId="77777777" w:rsidR="00C2692F" w:rsidRDefault="00C2692F">
      <w:pPr>
        <w:pStyle w:val="Text"/>
        <w:ind w:firstLine="0"/>
        <w:rPr>
          <w:sz w:val="2"/>
          <w:szCs w:val="18"/>
        </w:rPr>
      </w:pPr>
      <w:r>
        <w:rPr>
          <w:sz w:val="2"/>
          <w:szCs w:val="18"/>
        </w:rPr>
        <w:footnoteReference w:customMarkFollows="1" w:id="1"/>
        <w:sym w:font="Symbol" w:char="F020"/>
      </w:r>
    </w:p>
    <w:p w14:paraId="66070D87" w14:textId="77777777" w:rsidR="001D0236" w:rsidRDefault="001D0236" w:rsidP="001D0236">
      <w:pPr>
        <w:pStyle w:val="Title"/>
        <w:framePr w:wrap="notBeside"/>
      </w:pPr>
      <w:r>
        <w:t>DeepDeath</w:t>
      </w:r>
      <w:r w:rsidRPr="00FC4DB0">
        <w:t xml:space="preserve">: </w:t>
      </w:r>
      <w:r>
        <w:t>Learning to Predict the Underlying Cause of Death with Big Data *</w:t>
      </w:r>
    </w:p>
    <w:p w14:paraId="379EDB72" w14:textId="50FB6C0C"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w:t>
      </w:r>
      <w:r w:rsidR="004B2AD6">
        <w:t xml:space="preserve">A. </w:t>
      </w:r>
      <w:r>
        <w:t>B</w:t>
      </w:r>
      <w:r w:rsidR="004B2AD6">
        <w:t>raun</w:t>
      </w:r>
      <w:r>
        <w:t xml:space="preserve">, Centers for the Disease Control (CDC), and </w:t>
      </w:r>
      <w:r w:rsidRPr="00EA623D">
        <w:t>May D. Wang</w:t>
      </w:r>
      <w:r>
        <w:t xml:space="preserve">, </w:t>
      </w:r>
      <w:r>
        <w:rPr>
          <w:rStyle w:val="MemberType"/>
        </w:rPr>
        <w:t>Senior Member, IEEE</w:t>
      </w:r>
    </w:p>
    <w:p w14:paraId="6455715D" w14:textId="77777777" w:rsidR="00C2692F" w:rsidRDefault="00C2692F" w:rsidP="000066F1">
      <w:pPr>
        <w:pStyle w:val="Abstract"/>
        <w:spacing w:before="0"/>
      </w:pPr>
      <w:r>
        <w:rPr>
          <w:i/>
          <w:iCs/>
        </w:rPr>
        <w:t>Abstract</w:t>
      </w:r>
      <w:r>
        <w:t>—</w:t>
      </w:r>
      <w:r w:rsidRPr="00B32A40">
        <w:t xml:space="preserve"> </w:t>
      </w:r>
      <w:r w:rsidR="00F01750">
        <w:t>Multiple cause of death data provides a valuable source of information that can be used to enhance health standards by pre</w:t>
      </w:r>
      <w:r w:rsidR="00546F2D">
        <w:t xml:space="preserve">dicting health related trajectories </w:t>
      </w:r>
      <w:r w:rsidR="00150624">
        <w:t xml:space="preserve">in societies with large populations. These data are often available in large quantities across U.S. states and require Big Data techniques to uncover complex patterns that are hidden in them. We design two different classes of models suitable for large-scale analysis of mortality data, a Hadoop </w:t>
      </w:r>
      <w:r w:rsidR="004B2AD6">
        <w:t>Hadoop-</w:t>
      </w:r>
      <w:r w:rsidR="00150624">
        <w:t>based ensemble of random forests trained over N-grams</w:t>
      </w:r>
      <w:r w:rsidR="00CC4057">
        <w:t>, and the DeepDeath, a</w:t>
      </w:r>
      <w:r w:rsidR="00150624">
        <w:t xml:space="preserve"> deep </w:t>
      </w:r>
      <w:r w:rsidR="00CC4057">
        <w:t xml:space="preserve">classifier based on </w:t>
      </w:r>
      <w:r w:rsidR="00150624">
        <w:t>recurrent neural network</w:t>
      </w:r>
      <w:r w:rsidR="00CC4057">
        <w:t>s paradigm.</w:t>
      </w:r>
      <w:r w:rsidR="00F01750">
        <w:t xml:space="preserve"> </w:t>
      </w:r>
      <w:r w:rsidR="00926768">
        <w:t xml:space="preserve">We </w:t>
      </w:r>
      <w:r w:rsidR="00150624">
        <w:t xml:space="preserve">apply </w:t>
      </w:r>
      <w:r w:rsidR="00CC4057">
        <w:t xml:space="preserve">both classes to </w:t>
      </w:r>
      <w:r w:rsidR="00150624">
        <w:t xml:space="preserve">the </w:t>
      </w:r>
      <w:r w:rsidR="000B33FC">
        <w:t xml:space="preserve">mortality data provided by the </w:t>
      </w:r>
      <w:r w:rsidR="00150624">
        <w:t>N</w:t>
      </w:r>
      <w:r w:rsidR="000B33FC">
        <w:t xml:space="preserve">ational </w:t>
      </w:r>
      <w:r w:rsidR="00150624">
        <w:t>C</w:t>
      </w:r>
      <w:r w:rsidR="000B33FC">
        <w:t xml:space="preserve">enter for </w:t>
      </w:r>
      <w:r w:rsidR="00150624">
        <w:t>H</w:t>
      </w:r>
      <w:r w:rsidR="000B33FC">
        <w:t xml:space="preserve">ealth </w:t>
      </w:r>
      <w:r w:rsidR="00150624">
        <w:t>S</w:t>
      </w:r>
      <w:r w:rsidR="000B33FC">
        <w:t xml:space="preserve">tatistics and </w:t>
      </w:r>
      <w:r w:rsidR="00150624">
        <w:t xml:space="preserve">show that while both perform significantly better than the random classifier, the deep model </w:t>
      </w:r>
      <w:r w:rsidR="00CC4057">
        <w:t>that utilizes long short-term memory networks (LSTMs), surpasses the N-gram based models</w:t>
      </w:r>
      <w:r w:rsidR="000066F1">
        <w:t xml:space="preserve"> and is capable of learning the temporal aspect of the data without a need for building ad-hoc, expert-driven features.</w:t>
      </w:r>
      <w:r w:rsidR="00CC4057">
        <w:t xml:space="preserve"> </w:t>
      </w:r>
      <w:r w:rsidR="00277CBA">
        <w:t xml:space="preserve"> </w:t>
      </w:r>
      <w:r w:rsidR="00077A38">
        <w:tab/>
      </w:r>
    </w:p>
    <w:p w14:paraId="3CEAEB88" w14:textId="77777777" w:rsidR="00C2692F" w:rsidRDefault="00C2692F" w:rsidP="00C2692F">
      <w:pPr>
        <w:pStyle w:val="Heading1"/>
        <w:spacing w:before="120" w:after="120"/>
      </w:pPr>
      <w:r>
        <w:t>I</w:t>
      </w:r>
      <w:r>
        <w:rPr>
          <w:sz w:val="16"/>
          <w:szCs w:val="16"/>
        </w:rPr>
        <w:t>NTRODUCTION</w:t>
      </w:r>
    </w:p>
    <w:p w14:paraId="1B5A85B8" w14:textId="37A49619" w:rsidR="001D0236" w:rsidRDefault="001D0236" w:rsidP="00C92278">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w:t>
      </w:r>
      <w:r w:rsidR="00C92278">
        <w:t>,</w:t>
      </w:r>
      <w:r>
        <w:t xml:space="preserve"> </w:t>
      </w:r>
      <w:r w:rsidR="00C92278">
        <w:t xml:space="preserve">that remains to be extensively explored by </w:t>
      </w:r>
      <w:r>
        <w:t>researcher</w:t>
      </w:r>
      <w:r w:rsidR="00077A38">
        <w:t>s,</w:t>
      </w:r>
      <w:r>
        <w:t xml:space="preserve"> is whether </w:t>
      </w:r>
      <w:r w:rsidR="00077A38">
        <w:t>B</w:t>
      </w:r>
      <w:r>
        <w:t xml:space="preserve">ig </w:t>
      </w:r>
      <w:r w:rsidR="00077A38">
        <w:t>D</w:t>
      </w:r>
      <w:r>
        <w:t>ata science can contribute to our understanding of factors leading to death or diseases</w:t>
      </w:r>
      <w:r w:rsidR="00C92278">
        <w:t>,</w:t>
      </w:r>
      <w:r>
        <w:t xml:space="preserve"> 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here ha</w:t>
      </w:r>
      <w:r w:rsidR="001B04F0">
        <w:t>ve</w:t>
      </w:r>
      <w:r>
        <w:t xml:space="preserve">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w:t>
      </w:r>
      <w:r w:rsidR="00C92278">
        <w:t xml:space="preserve">to investigate </w:t>
      </w:r>
      <w:r w:rsidR="0054509B">
        <w:t xml:space="preserve">the feasibility of </w:t>
      </w:r>
      <w:r w:rsidR="00C92278">
        <w:t xml:space="preserve">this emerging field </w:t>
      </w:r>
      <w:r w:rsidR="0054509B">
        <w:t xml:space="preserve">in </w:t>
      </w:r>
      <w:r>
        <w:t xml:space="preserve">learning hidden complex patterns </w:t>
      </w:r>
      <w:r w:rsidR="00C92278">
        <w:t xml:space="preserve">that are </w:t>
      </w:r>
      <w:r>
        <w:t xml:space="preserve">available in the haystack of mortality datasets. </w:t>
      </w:r>
    </w:p>
    <w:p w14:paraId="7AC897FE" w14:textId="054EBB6F" w:rsidR="001D0236" w:rsidRPr="00630718" w:rsidRDefault="001D0236" w:rsidP="00184CBD">
      <w:pPr>
        <w:pStyle w:val="BodyText"/>
      </w:pPr>
      <w:r>
        <w:t>Multi</w:t>
      </w:r>
      <w:r w:rsidR="00FA2851">
        <w:t>ple cause</w:t>
      </w:r>
      <w:r w:rsidR="008D7ABF">
        <w:t>s</w:t>
      </w:r>
      <w:r w:rsidR="00FA2851">
        <w:t xml:space="preserve"> of death data provide</w:t>
      </w:r>
      <w:r>
        <w:t xml:space="preserve"> a valuable source of information that </w:t>
      </w:r>
      <w:r w:rsidR="008D7ABF">
        <w:t xml:space="preserve">have been </w:t>
      </w:r>
      <w:r>
        <w:t xml:space="preserve">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xml:space="preserve">, </w:t>
      </w:r>
      <w:r w:rsidR="008D7ABF">
        <w:t xml:space="preserve">to identify problems with the process of coding/recording cause of death information </w:t>
      </w:r>
      <w:r w:rsidR="008D7ABF">
        <w:fldChar w:fldCharType="begin"/>
      </w:r>
      <w:r w:rsidR="008D7ABF">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rsidR="008D7ABF">
        <w:fldChar w:fldCharType="separate"/>
      </w:r>
      <w:r w:rsidR="008D7ABF">
        <w:rPr>
          <w:noProof/>
        </w:rPr>
        <w:t>[6]</w:t>
      </w:r>
      <w:r w:rsidR="008D7ABF">
        <w:fldChar w:fldCharType="end"/>
      </w:r>
      <w:r w:rsidR="002408F5">
        <w:t>,</w:t>
      </w:r>
      <w:r w:rsidR="008D7ABF">
        <w:t xml:space="preserve"> and can be potential</w:t>
      </w:r>
      <w:r w:rsidR="002408F5">
        <w:t>ly</w:t>
      </w:r>
      <w:r w:rsidR="008D7ABF">
        <w:t xml:space="preserve"> used in</w:t>
      </w:r>
      <w:r w:rsidR="004C0679">
        <w:t xml:space="preserve"> analysis of</w:t>
      </w:r>
      <w:r w:rsidR="008D7ABF">
        <w:t xml:space="preserve"> </w:t>
      </w:r>
      <w:r>
        <w:t>disease diffusion for control</w:t>
      </w:r>
      <w:r w:rsidR="002408F5">
        <w:t xml:space="preserve">ling plague and other epidemics </w:t>
      </w:r>
      <w:r w:rsidR="00184CBD">
        <w:t>as well as providing</w:t>
      </w:r>
      <w:r>
        <w:t xml:space="preserve"> </w:t>
      </w:r>
      <w:r w:rsidR="00184CBD">
        <w:t xml:space="preserve">a </w:t>
      </w:r>
      <w:r>
        <w:t xml:space="preserve">better understanding of multi-morbid associations between conditions leading to death, As such, designing advanced analytics pipelines for discovering descriptive statistics and trajectories is highly </w:t>
      </w:r>
      <w:r w:rsidR="002408F5">
        <w:t>crucial</w:t>
      </w:r>
      <w:r>
        <w:t xml:space="preserve">. </w:t>
      </w:r>
      <w:r w:rsidR="006350B6">
        <w:t>While t</w:t>
      </w:r>
      <w:r>
        <w:t xml:space="preserve">he sheer amount of available data </w:t>
      </w:r>
      <w:r w:rsidR="006350B6">
        <w:t xml:space="preserve">collected </w:t>
      </w:r>
      <w:r>
        <w:t xml:space="preserve">from </w:t>
      </w:r>
      <w:r w:rsidR="006350B6">
        <w:t xml:space="preserve">the registered death </w:t>
      </w:r>
      <w:r>
        <w:t>certificate</w:t>
      </w:r>
      <w:r w:rsidR="006350B6">
        <w:t>s</w:t>
      </w:r>
      <w:r>
        <w:t xml:space="preserve"> makes </w:t>
      </w:r>
      <w:r w:rsidR="006350B6">
        <w:t>it amenable to B</w:t>
      </w:r>
      <w:r>
        <w:t>ig</w:t>
      </w:r>
      <w:r w:rsidR="006350B6">
        <w:t xml:space="preserve"> D</w:t>
      </w:r>
      <w:r>
        <w:t>ata analysis</w:t>
      </w:r>
      <w:r w:rsidR="006350B6">
        <w:t>,</w:t>
      </w:r>
      <w:r>
        <w:t xml:space="preserve"> </w:t>
      </w:r>
      <w:r w:rsidR="006350B6">
        <w:t xml:space="preserve">it poses </w:t>
      </w:r>
      <w:r>
        <w:t>some key challenges</w:t>
      </w:r>
      <w:r w:rsidR="006350B6">
        <w:t xml:space="preserve"> at the same time</w:t>
      </w:r>
      <w:r>
        <w:t>. In particular, the multiple-cause</w:t>
      </w:r>
      <w:r w:rsidR="00667735">
        <w:t>-of-death</w:t>
      </w:r>
      <w:r>
        <w:t xml:space="preserve"> data </w:t>
      </w:r>
      <w:r w:rsidR="006350B6">
        <w:t>are</w:t>
      </w:r>
      <w:r>
        <w:t xml:space="preserve"> unstructured and </w:t>
      </w:r>
      <w:r w:rsidR="006350B6">
        <w:t>are often inaccurate and noisy.</w:t>
      </w:r>
      <w:r>
        <w:t xml:space="preserve"> Moreover, the high number of ICD-9/10 mortality codes make</w:t>
      </w:r>
      <w:r w:rsidR="006350B6">
        <w:t>s</w:t>
      </w:r>
      <w:r>
        <w:t xml:space="preserve"> analysis of multiple-cause associat</w:t>
      </w:r>
      <w:r w:rsidR="006350B6">
        <w:t>ions even more challenging. These</w:t>
      </w:r>
      <w:r>
        <w:t xml:space="preserve"> altogether, call for advanced techniques for mining large datasets of unstructured, high dimensional, and noisy</w:t>
      </w:r>
      <w:r w:rsidR="006350B6">
        <w:t xml:space="preserve"> structure</w:t>
      </w:r>
      <w:r>
        <w:t>.</w:t>
      </w:r>
    </w:p>
    <w:p w14:paraId="7C7BD54B" w14:textId="77777777" w:rsidR="001D0236" w:rsidRDefault="001D0236" w:rsidP="00316BF5">
      <w:pPr>
        <w:pStyle w:val="BodyText"/>
      </w:pPr>
      <w:r>
        <w:t>Despite the importance of the subject, only a handful of researches have so far conducted studies in which the</w:t>
      </w:r>
      <w:r w:rsidR="00131D00">
        <w:t>y</w:t>
      </w:r>
      <w:r>
        <w:t xml:space="preserve"> sought to relate multiple causes of death to </w:t>
      </w:r>
      <w:r w:rsidR="00131D00">
        <w:t xml:space="preserve">each other or to </w:t>
      </w:r>
      <w:r>
        <w:t xml:space="preserve">other factors. These studies are often </w:t>
      </w:r>
      <w:r w:rsidR="00316BF5">
        <w:t xml:space="preserve">limited </w:t>
      </w:r>
      <w:r>
        <w:t xml:space="preserve">to classical statistical methods </w:t>
      </w:r>
      <w:r w:rsidR="00316BF5">
        <w:t xml:space="preserve">(measures) </w:t>
      </w:r>
      <w:r>
        <w:t xml:space="preserve">that </w:t>
      </w:r>
      <w:r w:rsidR="00316BF5">
        <w:t xml:space="preserve">do not scale up efficiently and are </w:t>
      </w:r>
      <w:r>
        <w:t xml:space="preserve">put into four </w:t>
      </w:r>
      <w:r w:rsidR="00316BF5">
        <w:t xml:space="preserve">major </w:t>
      </w:r>
      <w:r>
        <w:t xml:space="preserve">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14:paraId="35B29F59" w14:textId="77777777" w:rsidR="001D0236" w:rsidRDefault="001D0236" w:rsidP="00EE7FED">
      <w:pPr>
        <w:pStyle w:val="BodyText"/>
      </w:pPr>
      <w:r>
        <w:t xml:space="preserve">In this study, we present an exploratory analysis that is well positioned in a fifth group, by building upon both the third and the fourth </w:t>
      </w:r>
      <w:r w:rsidR="00184CBD">
        <w:t xml:space="preserve">abovementioned </w:t>
      </w:r>
      <w:r>
        <w:t xml:space="preserve">categories, and utilizing advanced machine learning approaches. </w:t>
      </w:r>
      <w:r w:rsidR="00184CBD">
        <w:t>More s</w:t>
      </w:r>
      <w:r>
        <w:t xml:space="preserve">pecifically, we propose two different </w:t>
      </w:r>
      <w:r w:rsidR="00184CBD">
        <w:t>classes of</w:t>
      </w:r>
      <w:r>
        <w:t xml:space="preserve"> models</w:t>
      </w:r>
      <w:r w:rsidR="00184CBD">
        <w:t xml:space="preserve"> for large-scale analysis of data</w:t>
      </w:r>
      <w:r>
        <w:t xml:space="preserve">, namely, shallow learners to learn </w:t>
      </w:r>
      <w:r w:rsidR="00184CBD">
        <w:t>uni</w:t>
      </w:r>
      <w:r>
        <w:t xml:space="preserve">/bi-gram features derived from the multiple-cause data </w:t>
      </w:r>
      <w:r w:rsidR="00184CBD">
        <w:t xml:space="preserve">that run </w:t>
      </w:r>
      <w:r>
        <w:t xml:space="preserve">over Hadoop </w:t>
      </w:r>
      <w:r w:rsidR="00184CBD">
        <w:t xml:space="preserve">framework </w:t>
      </w:r>
      <w:r>
        <w:t>using the MapReduce programming model</w:t>
      </w:r>
      <w:r w:rsidR="00184CBD">
        <w:t>, and</w:t>
      </w:r>
      <w:r>
        <w:t xml:space="preserve"> a deep recurrent neural network that learns the </w:t>
      </w:r>
      <w:r w:rsidR="00184CBD">
        <w:t xml:space="preserve">temporal </w:t>
      </w:r>
      <w:r>
        <w:t xml:space="preserve">dynamics of the </w:t>
      </w:r>
      <w:r w:rsidR="00184CBD">
        <w:t xml:space="preserve">event </w:t>
      </w:r>
      <w:r>
        <w:t xml:space="preserve">chains efficiently. The rest of the paper is organized as follows. In section II we detail the data format as well as the challenges that we face when dealing with it. Then we </w:t>
      </w:r>
      <w:r w:rsidR="00184CBD">
        <w:t>describe</w:t>
      </w:r>
      <w:r>
        <w:t xml:space="preserve"> the shallow learners that </w:t>
      </w:r>
      <w:r w:rsidR="00EE7FED">
        <w:t xml:space="preserve">are designed to work over the </w:t>
      </w:r>
      <w:r>
        <w:t xml:space="preserve">Hadoop framework. We also present our </w:t>
      </w:r>
      <w:r w:rsidR="00EE7FED">
        <w:t xml:space="preserve">proposed </w:t>
      </w:r>
      <w:r>
        <w:t xml:space="preserve">deep model in the </w:t>
      </w:r>
      <w:r>
        <w:lastRenderedPageBreak/>
        <w:t xml:space="preserve">same section and our motivation to resort to deep learning. Next, in section III, we compare </w:t>
      </w:r>
      <w:r w:rsidR="00EE7FED">
        <w:t xml:space="preserve">the accuracy of each model when applied to a large dataset </w:t>
      </w:r>
      <w:r>
        <w:t xml:space="preserve">show that our deep </w:t>
      </w:r>
      <w:r w:rsidR="00EE7FED">
        <w:t xml:space="preserve">pipeline outperforms the baselines we design by utilizing its ability to learn the temporal aspect of the </w:t>
      </w:r>
      <w:r>
        <w:t>data and finally in section IV, we conclude the paper and shed light on future directions</w:t>
      </w:r>
      <w:r w:rsidR="00692B96">
        <w:t xml:space="preserve"> that</w:t>
      </w:r>
      <w:r>
        <w:t xml:space="preserve"> we would like to pursue.</w:t>
      </w:r>
    </w:p>
    <w:p w14:paraId="2097F1F9" w14:textId="77777777" w:rsidR="001D0236" w:rsidRDefault="001D0236" w:rsidP="001D0236">
      <w:pPr>
        <w:pStyle w:val="BodyText"/>
      </w:pPr>
    </w:p>
    <w:p w14:paraId="002AB2BB" w14:textId="77777777" w:rsidR="00C2692F" w:rsidRDefault="001D0236" w:rsidP="00C2692F">
      <w:pPr>
        <w:pStyle w:val="Heading1"/>
        <w:spacing w:before="120" w:after="120"/>
      </w:pPr>
      <w:r>
        <w:t>Materials and Methods</w:t>
      </w:r>
    </w:p>
    <w:p w14:paraId="0117582D" w14:textId="77777777" w:rsidR="001D0236" w:rsidRDefault="001D0236" w:rsidP="001D0236">
      <w:pPr>
        <w:pStyle w:val="Heading2"/>
        <w:keepLines/>
        <w:tabs>
          <w:tab w:val="num" w:pos="360"/>
        </w:tabs>
        <w:autoSpaceDE/>
        <w:autoSpaceDN/>
        <w:ind w:left="288" w:hanging="288"/>
      </w:pPr>
      <w:r>
        <w:t>Data source</w:t>
      </w:r>
    </w:p>
    <w:p w14:paraId="779E5837" w14:textId="77777777" w:rsidR="00692B96" w:rsidRDefault="00692B96" w:rsidP="0072340F">
      <w:pPr>
        <w:pStyle w:val="BodyText"/>
      </w:pPr>
      <w:r>
        <w:t xml:space="preserve">Civil registration systems collect death information from deceased persons in form of death certificates, based on a standard format that is designed by the World Health Organization (WHO) </w:t>
      </w:r>
      <w:r>
        <w:fldChar w:fldCharType="begin"/>
      </w:r>
      <w:r>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fldChar w:fldCharType="separate"/>
      </w:r>
      <w:r>
        <w:rPr>
          <w:noProof/>
        </w:rPr>
        <w:t>[8]</w:t>
      </w:r>
      <w:r>
        <w:fldChar w:fldCharType="end"/>
      </w:r>
      <w:r>
        <w:t>. The section that is of most interest to public health researchers is the cause-of-death section, which has to be completed by a medical certifier. An ideal person to complete a death certificate is the attending physician, who has</w:t>
      </w:r>
      <w:r w:rsidR="005B52A1">
        <w:t xml:space="preserve"> </w:t>
      </w:r>
      <w:r>
        <w:t>sufficient clinical expertise and judgement</w:t>
      </w:r>
      <w:r w:rsidR="005B52A1">
        <w:t xml:space="preserve"> on the occurred death</w:t>
      </w:r>
      <w:r w:rsidR="00866A33">
        <w:t>,</w:t>
      </w:r>
      <w:r>
        <w:t xml:space="preserve"> </w:t>
      </w:r>
      <w:r w:rsidR="00866A33">
        <w:t>h</w:t>
      </w:r>
      <w:r>
        <w:t xml:space="preserve">owever, </w:t>
      </w:r>
      <w:r w:rsidR="00866A33">
        <w:t xml:space="preserve">in case </w:t>
      </w:r>
      <w:r>
        <w:t xml:space="preserve">the manner of death is unnatural or unplanned, a medical examiner or a coroner can also fill in </w:t>
      </w:r>
      <w:r w:rsidR="00866A33">
        <w:t>the</w:t>
      </w:r>
      <w:r>
        <w:t xml:space="preserve"> death certificate. The cause-of-death section is divided into two parts (</w:t>
      </w:r>
      <w:r w:rsidR="00DB5472">
        <w:t>s</w:t>
      </w:r>
      <w:r w:rsidR="009027E2">
        <w:t xml:space="preserve">ee Figure </w:t>
      </w:r>
      <w:r w:rsidR="005C14C0">
        <w:t>1</w:t>
      </w:r>
      <w:r>
        <w:t>)</w:t>
      </w:r>
      <w:r w:rsidR="00D90EAB">
        <w:t>.</w:t>
      </w:r>
      <w:r>
        <w:t xml:space="preserve"> </w:t>
      </w:r>
      <w:r w:rsidR="00D90EAB">
        <w:t>P</w:t>
      </w:r>
      <w:r>
        <w:t>art I lists the causal chain of conditions directly leading to the death in reverse chron</w:t>
      </w:r>
      <w:r w:rsidR="00D90EAB">
        <w:t>ologi</w:t>
      </w:r>
      <w:r>
        <w:t xml:space="preserve">cal order, and part II includes the conditions that contributes but not directly leads to death </w:t>
      </w:r>
      <w:r>
        <w:fldChar w:fldCharType="begin"/>
      </w:r>
      <w:r>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fldChar w:fldCharType="separate"/>
      </w:r>
      <w:r>
        <w:rPr>
          <w:noProof/>
        </w:rPr>
        <w:t>[9]</w:t>
      </w:r>
      <w:r>
        <w:fldChar w:fldCharType="end"/>
      </w:r>
      <w:r>
        <w:t>.</w:t>
      </w:r>
      <w:r w:rsidR="0072340F">
        <w:t xml:space="preserve"> The conditions in part II are not ordered in time.</w:t>
      </w:r>
    </w:p>
    <w:p w14:paraId="10AB2218" w14:textId="77777777" w:rsidR="001D0236" w:rsidRDefault="001D0236" w:rsidP="00566BCA">
      <w:pPr>
        <w:pStyle w:val="BodyText"/>
      </w:pPr>
      <w:r>
        <w:t xml:space="preserve">We used </w:t>
      </w:r>
      <w:r w:rsidR="0072340F">
        <w:t xml:space="preserve">2015 </w:t>
      </w:r>
      <w:r>
        <w:t>mortality data published by the United States National Center for Health Statistics (NCHS</w:t>
      </w:r>
      <w:r w:rsidR="0072340F">
        <w:t>)</w:t>
      </w:r>
      <w:r w:rsidR="00AB3245">
        <w:t xml:space="preserve"> which consists of over 2.7 million deaths recorded in U.S. during the year 2015</w:t>
      </w:r>
      <w:r>
        <w:t xml:space="preserve">. </w:t>
      </w:r>
      <w:r w:rsidR="0072340F">
        <w:t>Because we were interested in the temporal information that is available in the multiple causes of death, we filtered out the conditions listed in part II</w:t>
      </w:r>
      <w:r w:rsidR="00E91A13">
        <w:t xml:space="preserve"> as well as the underlying causes if listed in this part.</w:t>
      </w:r>
      <w:r w:rsidR="0080390D">
        <w:t xml:space="preserve"> </w:t>
      </w:r>
      <w:r w:rsidR="0009668C">
        <w:t xml:space="preserve">We also removed that records with </w:t>
      </w:r>
      <w:r w:rsidR="00E91A13">
        <w:t xml:space="preserve">attributed </w:t>
      </w:r>
      <w:r w:rsidR="0009668C">
        <w:t>unnatural underlying cause</w:t>
      </w:r>
      <w:r w:rsidR="00E91A13">
        <w:t>s</w:t>
      </w:r>
      <w:r w:rsidR="0009668C">
        <w:t xml:space="preserve"> of death such as suicide. Based on the 113-recode of the underlying cause, these are assigned to codes 111-113. </w:t>
      </w:r>
      <w:r w:rsidR="0080390D">
        <w:t>Moreover,</w:t>
      </w:r>
      <w:r w:rsidR="0009668C">
        <w:t xml:space="preserve"> if</w:t>
      </w:r>
      <w:r w:rsidR="00E91A13">
        <w:t xml:space="preserve"> an underlying cause appears less than 1000 times throughout the whole dataset, we exclude that from our training and test sets leaving 67 recoded classes of the underlying causes. Our</w:t>
      </w:r>
      <w:r w:rsidR="0080390D">
        <w:t xml:space="preserve"> goal in this study was to predict </w:t>
      </w:r>
      <w:r w:rsidR="00E91A13">
        <w:t>the class attributed to each case given the multiple cause conditions listed for him/her.</w:t>
      </w:r>
      <w:r w:rsidR="0080390D">
        <w:t xml:space="preserve"> </w:t>
      </w:r>
      <w:r w:rsidR="00983A75">
        <w:t xml:space="preserve">We divided the resulting set into </w:t>
      </w:r>
      <w:r w:rsidR="003D6FB4">
        <w:t xml:space="preserve">a </w:t>
      </w:r>
      <w:r w:rsidR="00983A75">
        <w:t xml:space="preserve">training set </w:t>
      </w:r>
      <w:r w:rsidR="003D6FB4">
        <w:t xml:space="preserve">and a test set comprising </w:t>
      </w:r>
      <w:r w:rsidR="00983A75">
        <w:t xml:space="preserve">70% </w:t>
      </w:r>
      <w:r w:rsidR="003D6FB4">
        <w:t xml:space="preserve">and 20% of the </w:t>
      </w:r>
      <w:r w:rsidR="00983A75">
        <w:t>samples</w:t>
      </w:r>
      <w:r w:rsidR="003D6FB4">
        <w:t>, respectively.</w:t>
      </w:r>
    </w:p>
    <w:p w14:paraId="10479F01" w14:textId="77777777" w:rsidR="001D0236" w:rsidRDefault="001D0236" w:rsidP="00FB7D45">
      <w:pPr>
        <w:pStyle w:val="Heading2"/>
        <w:keepLines/>
        <w:tabs>
          <w:tab w:val="num" w:pos="360"/>
        </w:tabs>
        <w:autoSpaceDE/>
        <w:autoSpaceDN/>
        <w:ind w:left="288" w:hanging="288"/>
      </w:pPr>
      <w:r>
        <w:t xml:space="preserve">Using n-Gram Models to Learn </w:t>
      </w:r>
      <w:r w:rsidR="00FB7D45">
        <w:t>Associations Between Multiple Causes</w:t>
      </w:r>
    </w:p>
    <w:p w14:paraId="26ABAA41" w14:textId="77777777" w:rsidR="001D0236" w:rsidRDefault="00D373BD" w:rsidP="00B1450A">
      <w:pPr>
        <w:pStyle w:val="BodyText"/>
      </w:pPr>
      <w:r>
        <w:rPr>
          <w:noProof/>
          <w:lang w:eastAsia="zh-TW"/>
        </w:rPr>
        <mc:AlternateContent>
          <mc:Choice Requires="wps">
            <w:drawing>
              <wp:anchor distT="0" distB="0" distL="114300" distR="114300" simplePos="0" relativeHeight="251670016" behindDoc="0" locked="0" layoutInCell="1" allowOverlap="1" wp14:anchorId="5BA5C3AD" wp14:editId="0150B418">
                <wp:simplePos x="0" y="0"/>
                <wp:positionH relativeFrom="column">
                  <wp:posOffset>22860</wp:posOffset>
                </wp:positionH>
                <wp:positionV relativeFrom="paragraph">
                  <wp:posOffset>320040</wp:posOffset>
                </wp:positionV>
                <wp:extent cx="3032760" cy="1582420"/>
                <wp:effectExtent l="0" t="0" r="0" b="0"/>
                <wp:wrapTopAndBottom/>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2760" cy="1582420"/>
                        </a:xfrm>
                        <a:prstGeom prst="rect">
                          <a:avLst/>
                        </a:prstGeom>
                        <a:solidFill>
                          <a:srgbClr val="FFFFFF"/>
                        </a:solidFill>
                        <a:ln w="9525">
                          <a:noFill/>
                          <a:miter lim="800000"/>
                          <a:headEnd/>
                          <a:tailEnd/>
                        </a:ln>
                      </wps:spPr>
                      <wps:txbx>
                        <w:txbxContent>
                          <w:p w14:paraId="0E309EE8" w14:textId="77777777" w:rsidR="0006380A" w:rsidRPr="00932256" w:rsidRDefault="0006380A" w:rsidP="00B70DD8">
                            <w:pPr>
                              <w:pStyle w:val="figurecaption"/>
                            </w:pPr>
                            <w:bookmarkStart w:id="0"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0"/>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BA5C3AD" id="_x0000_t202" coordsize="21600,21600" o:spt="202" path="m,l,21600r21600,l21600,xe">
                <v:stroke joinstyle="miter"/>
                <v:path gradientshapeok="t" o:connecttype="rect"/>
              </v:shapetype>
              <v:shape id="Text Box 8" o:spid="_x0000_s1026" type="#_x0000_t202" style="position:absolute;left:0;text-align:left;margin-left:1.8pt;margin-top:25.2pt;width:238.8pt;height:124.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" stroked="f">
                <v:textbox>
                  <w:txbxContent>
                    <w:p w14:paraId="0E309EE8" w14:textId="77777777" w:rsidR="0006380A" w:rsidRPr="00932256" w:rsidRDefault="0006380A" w:rsidP="00B70DD8">
                      <w:pPr>
                        <w:pStyle w:val="figurecaption"/>
                      </w:pPr>
                      <w:bookmarkStart w:id="1" w:name="_Ref474952889"/>
                      <w:r w:rsidRPr="00610AA3">
                        <w:t>An</w:t>
                      </w:r>
                      <w:r>
                        <w:t xml:space="preserve"> screenshot of the multiple cause section in a death certificate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p>
                    <w:bookmarkEnd w:id="1"/>
                    <w:p w14:paraId="7A4CE3D3" w14:textId="77777777" w:rsidR="0006380A" w:rsidRDefault="0006380A" w:rsidP="004174DF">
                      <w:pPr>
                        <w:pStyle w:val="figurecaption"/>
                        <w:keepNext/>
                        <w:numPr>
                          <w:ilvl w:val="0"/>
                          <w:numId w:val="0"/>
                        </w:numPr>
                      </w:pPr>
                      <w:r>
                        <w:rPr>
                          <w:lang w:eastAsia="zh-TW"/>
                        </w:rPr>
                        <w:drawing>
                          <wp:inline distT="0" distB="0" distL="0" distR="0" wp14:anchorId="2E67D35D" wp14:editId="74478F6C">
                            <wp:extent cx="2658497" cy="1071349"/>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8">
                                      <a:extLst>
                                        <a:ext uri="{28A0092B-C50C-407E-A947-70E740481C1C}">
                                          <a14:useLocalDpi xmlns:a14="http://schemas.microsoft.com/office/drawing/2010/main" val="0"/>
                                        </a:ext>
                                      </a:extLst>
                                    </a:blip>
                                    <a:stretch>
                                      <a:fillRect/>
                                    </a:stretch>
                                  </pic:blipFill>
                                  <pic:spPr>
                                    <a:xfrm>
                                      <a:off x="0" y="0"/>
                                      <a:ext cx="2723295" cy="1097462"/>
                                    </a:xfrm>
                                    <a:prstGeom prst="rect">
                                      <a:avLst/>
                                    </a:prstGeom>
                                  </pic:spPr>
                                </pic:pic>
                              </a:graphicData>
                            </a:graphic>
                          </wp:inline>
                        </w:drawing>
                      </w:r>
                    </w:p>
                  </w:txbxContent>
                </v:textbox>
                <w10:wrap type="topAndBottom"/>
              </v:shape>
            </w:pict>
          </mc:Fallback>
        </mc:AlternateContent>
      </w:r>
      <w:r w:rsidR="001D0236">
        <w:t xml:space="preserve">To construct our baseline models, we </w:t>
      </w:r>
      <w:r w:rsidR="00EA67E4">
        <w:t xml:space="preserve">derived the </w:t>
      </w:r>
      <w:r w:rsidR="001D0236">
        <w:t xml:space="preserve">n-gram </w:t>
      </w:r>
      <w:r w:rsidR="00EA67E4">
        <w:t xml:space="preserve">features </w:t>
      </w:r>
      <w:r w:rsidR="00095DB7">
        <w:t>where an n</w:t>
      </w:r>
      <w:r w:rsidR="001D0236">
        <w:t xml:space="preserve">-gram is a </w:t>
      </w:r>
      <w:r w:rsidR="00095DB7">
        <w:t xml:space="preserve">defined as an n-tuple consisting </w:t>
      </w:r>
      <w:r w:rsidR="00095DB7">
        <w:t xml:space="preserve">of </w:t>
      </w:r>
      <w:r w:rsidR="00095DB7" w:rsidRPr="00095DB7">
        <w:rPr>
          <w:i/>
          <w:iCs/>
        </w:rPr>
        <w:t>n</w:t>
      </w:r>
      <w:r w:rsidR="00095DB7">
        <w:t xml:space="preserve"> consecutive tokens within sequential data </w:t>
      </w:r>
      <w:r w:rsidR="00095DB7">
        <w:fldChar w:fldCharType="begin"/>
      </w:r>
      <w:r w:rsidR="00095DB7">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rsidR="00095DB7">
        <w:fldChar w:fldCharType="separate"/>
      </w:r>
      <w:r w:rsidR="00095DB7">
        <w:rPr>
          <w:noProof/>
        </w:rPr>
        <w:t>[10]</w:t>
      </w:r>
      <w:r w:rsidR="00095DB7">
        <w:fldChar w:fldCharType="end"/>
      </w:r>
      <w:r w:rsidR="00095DB7">
        <w:t xml:space="preserve"> (in our case, causes listed in part I of the death certificates). N-gram based models have</w:t>
      </w:r>
      <w:r w:rsidR="001D0236">
        <w:t xml:space="preserve"> been widely </w:t>
      </w:r>
      <w:r w:rsidR="00095DB7">
        <w:t xml:space="preserve">used </w:t>
      </w:r>
      <w:r w:rsidR="001D0236">
        <w:t xml:space="preserve">in natural language processing </w: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 </w:instrText>
      </w:r>
      <w:r w:rsidR="001D0236">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rsidR="001D0236">
        <w:instrText xml:space="preserve"> ADDIN EN.CITE.DATA </w:instrText>
      </w:r>
      <w:r w:rsidR="001D0236">
        <w:fldChar w:fldCharType="end"/>
      </w:r>
      <w:r w:rsidR="001D0236">
        <w:fldChar w:fldCharType="separate"/>
      </w:r>
      <w:r w:rsidR="001D0236">
        <w:rPr>
          <w:noProof/>
        </w:rPr>
        <w:t>[11-13]</w:t>
      </w:r>
      <w:r w:rsidR="001D0236">
        <w:fldChar w:fldCharType="end"/>
      </w:r>
      <w:r w:rsidR="001D0236">
        <w:t xml:space="preserve"> and bioinformatics </w:t>
      </w:r>
      <w:r w:rsidR="001D0236">
        <w:fldChar w:fldCharType="begin"/>
      </w:r>
      <w:r w:rsidR="001D0236">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rsidR="001D0236">
        <w:fldChar w:fldCharType="separate"/>
      </w:r>
      <w:r w:rsidR="001D0236">
        <w:rPr>
          <w:noProof/>
        </w:rPr>
        <w:t>[14, 15]</w:t>
      </w:r>
      <w:r w:rsidR="001D0236">
        <w:fldChar w:fldCharType="end"/>
      </w:r>
      <w:r w:rsidR="00095DB7">
        <w:t xml:space="preserve"> due to their performance and ease of implementation</w:t>
      </w:r>
      <w:r w:rsidR="001D0236">
        <w:t xml:space="preserve">. </w:t>
      </w:r>
      <w:r w:rsidR="00095DB7">
        <w:t>In this study, we only use uni-gram features and bi-</w:t>
      </w:r>
      <w:r w:rsidR="00B1450A">
        <w:t>gram features. Despite the fact that higher order n-grams (e.g. tri-grams) can provide more expressiveness and capture more context from the data, they make the models prone to overfitting due to an exponential increase in the number of possible features, which also makes training the resulting model computationally infeasible, therefore, in this study, we only included uni-gram and bi-gram features.</w:t>
      </w:r>
    </w:p>
    <w:p w14:paraId="22AF3EA1" w14:textId="77777777" w:rsidR="00A379E4" w:rsidRDefault="00AB3245" w:rsidP="00983A75">
      <w:pPr>
        <w:pStyle w:val="BodyText"/>
      </w:pPr>
      <w:r>
        <w:t>Once the n-gram features derived, we used random forest (RF) to train over the extremely large and sparse matrix of features. RF is an efficient model for dealing with sparse features, however, it does not properly scale up to fit the size of NCHS datasets</w:t>
      </w:r>
      <w:r w:rsidR="007A6891">
        <w:t xml:space="preserve">, therefore, we implemented our model over the Hadoop framework. Hadoop is a distributed  storage and computing framework inspired by Google File System (GFS) and Google MapReduce </w:t>
      </w:r>
      <w:r w:rsidR="007A6891">
        <w:fldChar w:fldCharType="begin"/>
      </w:r>
      <w:r w:rsidR="007A6891">
        <w:instrText xml:space="preserve"> ADDIN EN.CITE &lt;EndNote&gt;&lt;Cite&gt;&lt;Author&gt;Dean&lt;/Author&gt;&lt;Year&gt;2008&lt;/Year&gt;&lt;RecNum&gt;44&lt;/RecNum&gt;&lt;DisplayText&gt;[16]&lt;/DisplayText&gt;&lt;record&gt;&lt;rec-number&gt;44&lt;/rec-number&gt;&lt;foreign-keys&gt;&lt;key app="EN" db-id="xzrtztzalt5rtneppryperrsa5ew2waa2zpd" timestamp="1487565456"&gt;44&lt;/key&gt;&lt;/foreign-keys&gt;&lt;ref-type name="Journal Article"&gt;17&lt;/ref-type&gt;&lt;contributors&gt;&lt;authors&gt;&lt;author&gt;Dean, Jeffrey&lt;/author&gt;&lt;author&gt;Ghemawat, Sanjay&lt;/author&gt;&lt;/authors&gt;&lt;/contributors&gt;&lt;titles&gt;&lt;title&gt;MapReduce: simplified data processing on large clusters&lt;/title&gt;&lt;secondary-title&gt;Communications of the ACM&lt;/secondary-title&gt;&lt;/titles&gt;&lt;periodical&gt;&lt;full-title&gt;Communications of the ACM&lt;/full-title&gt;&lt;/periodical&gt;&lt;pages&gt;107-113&lt;/pages&gt;&lt;volume&gt;51&lt;/volume&gt;&lt;number&gt;1&lt;/number&gt;&lt;dates&gt;&lt;year&gt;2008&lt;/year&gt;&lt;/dates&gt;&lt;isbn&gt;0001-0782&lt;/isbn&gt;&lt;urls&gt;&lt;/urls&gt;&lt;/record&gt;&lt;/Cite&gt;&lt;/EndNote&gt;</w:instrText>
      </w:r>
      <w:r w:rsidR="007A6891">
        <w:fldChar w:fldCharType="separate"/>
      </w:r>
      <w:r w:rsidR="007A6891">
        <w:rPr>
          <w:noProof/>
        </w:rPr>
        <w:t>[16]</w:t>
      </w:r>
      <w:r w:rsidR="007A6891">
        <w:fldChar w:fldCharType="end"/>
      </w:r>
      <w:r w:rsidR="007A6891">
        <w:t xml:space="preserve">. It </w:t>
      </w:r>
      <w:r w:rsidR="00E5442C">
        <w:t>uses</w:t>
      </w:r>
      <w:r w:rsidR="007A6891">
        <w:t xml:space="preserve"> a reliable storage mechanism, the so called Hadoop Distributed File System (HDFS)</w:t>
      </w:r>
      <w:r w:rsidR="00E5442C">
        <w:t xml:space="preserve"> for fast storage and retrieval of large size datasets. Hadoop can efficiently utilize commodity </w:t>
      </w:r>
      <w:r w:rsidR="007A6891">
        <w:t>compute nodes</w:t>
      </w:r>
      <w:r w:rsidR="00E5442C">
        <w:t xml:space="preserve">, that are distributed in a network, to split the tasks into smaller sub-tasks and perform the analysis on the smaller chunks of data through MapReduce, an efficient model that runs on HDFS file system. To train our baseline models over the complete dataset, we used Hadoop streaming </w:t>
      </w:r>
      <w:r w:rsidR="0009668C">
        <w:t xml:space="preserve">and used the python Scikit-learn library to train multiple random forests on subsampled data provided by the mapping stage. Once multiple random forests were trained by the reducer jobs, we aggregate them through majority voting using the scores </w:t>
      </w:r>
      <w:r w:rsidR="00983A75">
        <w:t>that each model predict on the test set.</w:t>
      </w:r>
    </w:p>
    <w:p w14:paraId="3802771D" w14:textId="77777777" w:rsidR="00070A1B" w:rsidRDefault="000C4642" w:rsidP="008E1460">
      <w:pPr>
        <w:pStyle w:val="Heading2"/>
        <w:keepLines/>
        <w:autoSpaceDE/>
        <w:autoSpaceDN/>
        <w:ind w:left="0"/>
      </w:pPr>
      <w:r>
        <w:t>DeepDeath</w:t>
      </w:r>
    </w:p>
    <w:p w14:paraId="51A05818" w14:textId="77777777" w:rsidR="000C4642" w:rsidRDefault="00B70DD8" w:rsidP="000C4642">
      <w:pPr>
        <w:pStyle w:val="BodyText"/>
      </w:pPr>
      <w:r>
        <w:rPr>
          <w:noProof/>
          <w:lang w:eastAsia="zh-TW"/>
        </w:rPr>
        <mc:AlternateContent>
          <mc:Choice Requires="wps">
            <w:drawing>
              <wp:anchor distT="0" distB="0" distL="114300" distR="114300" simplePos="0" relativeHeight="251671040" behindDoc="1" locked="0" layoutInCell="1" allowOverlap="1" wp14:anchorId="1019B3F2" wp14:editId="4518F95F">
                <wp:simplePos x="0" y="0"/>
                <wp:positionH relativeFrom="column">
                  <wp:posOffset>109220</wp:posOffset>
                </wp:positionH>
                <wp:positionV relativeFrom="paragraph">
                  <wp:posOffset>1440815</wp:posOffset>
                </wp:positionV>
                <wp:extent cx="2846070" cy="2114550"/>
                <wp:effectExtent l="0" t="0" r="0" b="0"/>
                <wp:wrapTight wrapText="bothSides">
                  <wp:wrapPolygon edited="0">
                    <wp:start x="0" y="0"/>
                    <wp:lineTo x="0" y="21405"/>
                    <wp:lineTo x="21398" y="21405"/>
                    <wp:lineTo x="21398" y="0"/>
                    <wp:lineTo x="0" y="0"/>
                  </wp:wrapPolygon>
                </wp:wrapTight>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6070" cy="2114550"/>
                        </a:xfrm>
                        <a:prstGeom prst="rect">
                          <a:avLst/>
                        </a:prstGeom>
                        <a:solidFill>
                          <a:srgbClr val="FFFFFF"/>
                        </a:solidFill>
                        <a:ln w="9525">
                          <a:noFill/>
                          <a:miter lim="800000"/>
                          <a:headEnd/>
                          <a:tailEnd/>
                        </a:ln>
                      </wps:spPr>
                      <wps:txb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TW"/>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v:shape w14:anchorId="1019B3F2" id="文本框 2" o:spid="_x0000_s1027" type="#_x0000_t202" style="position:absolute;left:0;text-align:left;margin-left:8.6pt;margin-top:113.45pt;width:224.1pt;height:166.5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" stroked="f">
                <v:textbox>
                  <w:txbxContent>
                    <w:p w14:paraId="3DEC656A" w14:textId="77777777" w:rsidR="0006380A" w:rsidRDefault="0006380A" w:rsidP="00F852C6">
                      <w:pPr>
                        <w:pStyle w:val="figurecaption"/>
                      </w:pPr>
                      <w:r w:rsidRPr="00450DA5">
                        <w:t>Internal Design of an LSTM Module</w:t>
                      </w:r>
                    </w:p>
                    <w:p w14:paraId="30FB60C3" w14:textId="77777777" w:rsidR="0006380A" w:rsidRDefault="0006380A" w:rsidP="00F852C6">
                      <w:pPr>
                        <w:keepNext/>
                        <w:jc w:val="center"/>
                      </w:pPr>
                      <w:r>
                        <w:rPr>
                          <w:noProof/>
                          <w:lang w:eastAsia="zh-CN"/>
                        </w:rPr>
                        <w:drawing>
                          <wp:inline distT="0" distB="0" distL="0" distR="0" wp14:anchorId="6EB4364E" wp14:editId="12944EEA">
                            <wp:extent cx="2634018" cy="1713459"/>
                            <wp:effectExtent l="0" t="0" r="0" b="1270"/>
                            <wp:docPr id="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4018" cy="1713459"/>
                                    </a:xfrm>
                                    <a:prstGeom prst="rect">
                                      <a:avLst/>
                                    </a:prstGeom>
                                    <a:noFill/>
                                    <a:ln>
                                      <a:noFill/>
                                    </a:ln>
                                  </pic:spPr>
                                </pic:pic>
                              </a:graphicData>
                            </a:graphic>
                          </wp:inline>
                        </w:drawing>
                      </w:r>
                    </w:p>
                  </w:txbxContent>
                </v:textbox>
                <w10:wrap type="tight"/>
              </v:shape>
            </w:pict>
          </mc:Fallback>
        </mc:AlternateContent>
      </w:r>
      <w:r w:rsidR="00F71126" w:rsidRPr="00E974F3">
        <w:t xml:space="preserve">Deep learning </w:t>
      </w:r>
      <w:r w:rsidR="00F71126">
        <w:t xml:space="preserve">is an emerging technology that is now being deployed in a wide range of domains including Biomedical areas </w:t>
      </w:r>
      <w:r w:rsidR="00F71126">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 </w:instrText>
      </w:r>
      <w:r w:rsidR="007A6891">
        <w:fldChar w:fldCharType="begin">
          <w:fldData xml:space="preserve">PEVuZE5vdGU+PENpdGU+PEF1dGhvcj5QYXJrPC9BdXRob3I+PFllYXI+MjAxNTwvWWVhcj48UmVj
TnVtPjg8L1JlY051bT48RGlzcGxheVRleHQ+WzE3LTE5XTwvRGlzcGxheVRleHQ+PHJlY29yZD48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rsidR="007A6891">
        <w:instrText xml:space="preserve"> ADDIN EN.CITE.DATA </w:instrText>
      </w:r>
      <w:r w:rsidR="007A6891">
        <w:fldChar w:fldCharType="end"/>
      </w:r>
      <w:r w:rsidR="00F71126">
        <w:fldChar w:fldCharType="separate"/>
      </w:r>
      <w:r w:rsidR="007A6891">
        <w:rPr>
          <w:noProof/>
        </w:rPr>
        <w:t>[17-19]</w:t>
      </w:r>
      <w:r w:rsidR="00F71126">
        <w:fldChar w:fldCharType="end"/>
      </w:r>
      <w:r w:rsidR="00F71126">
        <w:t xml:space="preserve"> due </w:t>
      </w:r>
      <w:r w:rsidR="00F71126" w:rsidRPr="00E974F3">
        <w:t>its success in improving the previously recorded state-of-the-art performance measures</w:t>
      </w:r>
      <w:r w:rsidR="00F71126">
        <w:t>. Deep learn</w:t>
      </w:r>
      <w:r w:rsidR="00C83EC6">
        <w:t>ing</w:t>
      </w:r>
      <w:r w:rsidR="00F71126">
        <w:t xml:space="preserve"> is now becoming an indispensable part of any win</w:t>
      </w:r>
      <w:r w:rsidR="00D373BD">
        <w:t>n</w:t>
      </w:r>
      <w:r w:rsidR="00F71126">
        <w:t xml:space="preserve">ing model in today’s complex computational challenges. </w:t>
      </w:r>
      <w:r w:rsidR="00C83EC6">
        <w:t>L</w:t>
      </w:r>
      <w:r w:rsidR="00F71126">
        <w:t>ong short-term memory networks</w:t>
      </w:r>
      <w:r w:rsidR="00C83EC6">
        <w:t xml:space="preserve"> (LSTMs)</w:t>
      </w:r>
      <w:r w:rsidR="00F71126">
        <w:t xml:space="preserve"> </w:t>
      </w:r>
      <w:r w:rsidR="00F71126">
        <w:fldChar w:fldCharType="begin"/>
      </w:r>
      <w:r w:rsidR="007A6891">
        <w:instrText xml:space="preserve"> ADDIN EN.CITE &lt;EndNote&gt;&lt;Cite&gt;&lt;Author&gt;Hochreiter&lt;/Author&gt;&lt;Year&gt;1997&lt;/Year&gt;&lt;RecNum&gt;14&lt;/RecNum&gt;&lt;DisplayText&gt;[20]&lt;/DisplayText&gt;&lt;record&gt;&lt;rec-number&gt;14&lt;/rec-number&gt;&lt;foreign-keys&gt;&lt;key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rsidR="00F71126">
        <w:fldChar w:fldCharType="separate"/>
      </w:r>
      <w:r w:rsidR="007A6891">
        <w:rPr>
          <w:noProof/>
        </w:rPr>
        <w:t>[20]</w:t>
      </w:r>
      <w:r w:rsidR="00F71126">
        <w:fldChar w:fldCharType="end"/>
      </w:r>
      <w:r w:rsidR="00F71126">
        <w:t xml:space="preserve"> are an important class of deep architectures that are able to capture the temporal dynamics </w:t>
      </w:r>
      <w:r w:rsidR="00C83EC6">
        <w:t xml:space="preserve">of </w:t>
      </w:r>
      <w:r w:rsidR="00F71126">
        <w:t>sequential data</w:t>
      </w:r>
      <w:r w:rsidR="00C83EC6">
        <w:t xml:space="preserve">. LSTM networks have </w:t>
      </w:r>
      <w:r w:rsidR="004B4919">
        <w:t xml:space="preserve">recently </w:t>
      </w:r>
      <w:r w:rsidR="00C83EC6">
        <w:t xml:space="preserve">proved to outperform </w:t>
      </w:r>
      <w:r w:rsidR="004B4919">
        <w:t xml:space="preserve">surprisingly well in many </w:t>
      </w:r>
      <w:r w:rsidR="004B4919">
        <w:lastRenderedPageBreak/>
        <w:t xml:space="preserve">traditional sequence learning algorithms, such as the hidden Markov models (HMMs) and conditional random fields (CRF), in supervised settings where significant amount of labeled data is available. As </w:t>
      </w:r>
      <w:r w:rsidR="00F71126">
        <w:t xml:space="preserve">such, </w:t>
      </w:r>
      <w:r w:rsidR="004B4919">
        <w:t xml:space="preserve">LSTMs </w:t>
      </w:r>
      <w:r w:rsidR="00F71126">
        <w:t xml:space="preserve">fit the </w:t>
      </w:r>
      <w:r w:rsidR="004B4919">
        <w:t xml:space="preserve">framework of the task we would like to solve, namely, using the timed causes of death events that contributed to the final event, death, to predict the underlying cause that initiated these events in the first place. </w:t>
      </w:r>
      <w:r w:rsidR="00F71126">
        <w:t xml:space="preserve">These models have recently </w:t>
      </w:r>
      <w:r w:rsidR="000C4642">
        <w:t xml:space="preserve">attracted </w:t>
      </w:r>
      <w:r w:rsidR="00F71126">
        <w:t>significant</w:t>
      </w:r>
      <w:r w:rsidR="0099661B">
        <w:t xml:space="preserve"> attention and interest</w:t>
      </w:r>
      <w:r w:rsidR="00F71126">
        <w:t xml:space="preserve"> due to </w:t>
      </w:r>
      <w:r w:rsidR="000C4642">
        <w:t xml:space="preserve">the notable speed-ups grained from utilizing advanced </w:t>
      </w:r>
      <w:r w:rsidR="00F71126">
        <w:t>graphics processing units (GPUs)</w:t>
      </w:r>
      <w:r w:rsidR="0099661B">
        <w:t xml:space="preserve"> for computation</w:t>
      </w:r>
      <w:r w:rsidR="000C4642">
        <w:t xml:space="preserve">al tasks where simple matrix operations are massively repeated to generate the outcome of an algorithm. </w:t>
      </w:r>
    </w:p>
    <w:p w14:paraId="0F607247" w14:textId="77777777" w:rsidR="00AB45A9" w:rsidRDefault="000C4642" w:rsidP="00AB45A9">
      <w:pPr>
        <w:pStyle w:val="BodyText"/>
      </w:pPr>
      <w:r>
        <w:t>Figure 2 depicts</w:t>
      </w:r>
      <w:r w:rsidR="00F71126">
        <w:t xml:space="preserve"> the internal structure of an LSTM block.</w:t>
      </w:r>
      <w:r w:rsidR="00566BCA">
        <w:t xml:space="preserve"> It is composed of a number of gates that that control the flow information into and out of each LSTM memory. These gates are programmable in a differentiable way rendering them amenable to any gradient-based optimization technique</w:t>
      </w:r>
      <w:r w:rsidR="004E66FC">
        <w:t>. In other words, through the training process, we teach these gates what type of information is useful for predicting the target in future and hence should be passed by.</w:t>
      </w:r>
    </w:p>
    <w:p w14:paraId="020CD44E" w14:textId="77777777" w:rsidR="00F71126" w:rsidRDefault="00AB45A9" w:rsidP="001F0C6F">
      <w:pPr>
        <w:pStyle w:val="BodyText"/>
      </w:pPr>
      <w:r>
        <w:t>Figure 3 shows the block diagram of DeepDeath. We use a two-layer LSTM network to learn the hidden patterns within the multiple-cause sequences.</w:t>
      </w:r>
      <w:r w:rsidR="004E66FC">
        <w:t xml:space="preserve"> </w:t>
      </w:r>
      <w:r>
        <w:t xml:space="preserve">While each LSTM block in the second layer can potentially generate an output, we only use the output generated by the last block </w:t>
      </w:r>
      <w:r w:rsidR="00942CBC">
        <w:t>as it</w:t>
      </w:r>
      <w:r>
        <w:t xml:space="preserve"> can readily integrate all the past history into</w:t>
      </w:r>
      <w:r w:rsidR="00942CBC">
        <w:t xml:space="preserve"> an abstract</w:t>
      </w:r>
      <w:r>
        <w:t xml:space="preserve"> </w:t>
      </w:r>
      <w:r w:rsidR="00942CBC">
        <w:t>representation of the input sequence</w:t>
      </w:r>
      <w:r>
        <w:t>. We also used drop-out regularization on top of the output of the last block as it has been shown to lead to better a generalization.</w:t>
      </w:r>
      <w:r w:rsidR="00F975FF">
        <w:t xml:space="preserve"> Once the intermediate features generated, we feed them into a fully connected layer followed by a SoftMax layer to generate the log probability of the sample belonging to each underlying cause class.</w:t>
      </w:r>
      <w:r w:rsidR="001F0C6F">
        <w:t xml:space="preserve"> As a pre-processing step to generate data suitable for DeepDeath, we divided each code into three parts, the group letter, the major code and the etiology and used one-hot coding to represent each part and concatenated the resulting binary codes into a long binary. That way the integrity of the codes </w:t>
      </w:r>
      <w:r w:rsidR="002017C1">
        <w:t>is</w:t>
      </w:r>
      <w:r w:rsidR="001F0C6F">
        <w:t xml:space="preserve"> not lost by blindly converting every condition into a single code.</w:t>
      </w:r>
    </w:p>
    <w:p w14:paraId="413964E4" w14:textId="77777777" w:rsidR="00C2692F" w:rsidRDefault="00B70DD8" w:rsidP="001D0236">
      <w:pPr>
        <w:pStyle w:val="Heading1"/>
      </w:pPr>
      <w:r w:rsidRPr="001D0236">
        <w:rPr>
          <w:smallCaps w:val="0"/>
          <w:noProof/>
          <w:lang w:eastAsia="zh-TW"/>
        </w:rPr>
        <mc:AlternateContent>
          <mc:Choice Requires="wps">
            <w:drawing>
              <wp:anchor distT="0" distB="0" distL="114300" distR="114300" simplePos="0" relativeHeight="251660800" behindDoc="1" locked="0" layoutInCell="1" allowOverlap="1" wp14:anchorId="6A23882A" wp14:editId="73B370D7">
                <wp:simplePos x="0" y="0"/>
                <wp:positionH relativeFrom="margin">
                  <wp:align>left</wp:align>
                </wp:positionH>
                <wp:positionV relativeFrom="paragraph">
                  <wp:posOffset>-5401945</wp:posOffset>
                </wp:positionV>
                <wp:extent cx="3561715" cy="2776855"/>
                <wp:effectExtent l="0" t="0" r="635" b="4445"/>
                <wp:wrapTight wrapText="bothSides">
                  <wp:wrapPolygon edited="0">
                    <wp:start x="0" y="0"/>
                    <wp:lineTo x="0" y="21486"/>
                    <wp:lineTo x="21488" y="21486"/>
                    <wp:lineTo x="2148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1715" cy="2776855"/>
                        </a:xfrm>
                        <a:prstGeom prst="rect">
                          <a:avLst/>
                        </a:prstGeom>
                        <a:solidFill>
                          <a:srgbClr val="FFFFFF"/>
                        </a:solidFill>
                        <a:ln w="9525">
                          <a:noFill/>
                          <a:miter lim="800000"/>
                          <a:headEnd/>
                          <a:tailEnd/>
                        </a:ln>
                      </wps:spPr>
                      <wps:txb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3882A" id="_x0000_s1028" type="#_x0000_t202" style="position:absolute;left:0;text-align:left;margin-left:0;margin-top:-425.35pt;width:280.45pt;height:218.6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" stroked="f">
                <v:textbox>
                  <w:txbxContent>
                    <w:p w14:paraId="5F299F1F" w14:textId="77777777" w:rsidR="0006380A" w:rsidRDefault="0006380A" w:rsidP="001D0236">
                      <w:pPr>
                        <w:pStyle w:val="figurecaption"/>
                      </w:pPr>
                      <w:r w:rsidRPr="00F73F08">
                        <w:t>The block diagram of DeepDeath</w:t>
                      </w:r>
                    </w:p>
                    <w:p w14:paraId="5ACA4446" w14:textId="77777777" w:rsidR="0006380A" w:rsidRDefault="0006380A" w:rsidP="000F29FD">
                      <w:pPr>
                        <w:pStyle w:val="figurecaption"/>
                        <w:numPr>
                          <w:ilvl w:val="0"/>
                          <w:numId w:val="0"/>
                        </w:numPr>
                        <w:jc w:val="left"/>
                      </w:pPr>
                      <w:r>
                        <w:rPr>
                          <w:lang w:eastAsia="zh-TW"/>
                        </w:rPr>
                        <w:drawing>
                          <wp:inline distT="0" distB="0" distL="0" distR="0" wp14:anchorId="5EA43528" wp14:editId="7DBC5A1E">
                            <wp:extent cx="3350526" cy="2178042"/>
                            <wp:effectExtent l="0" t="0" r="2540" b="0"/>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5564" cy="2200819"/>
                                    </a:xfrm>
                                    <a:prstGeom prst="rect">
                                      <a:avLst/>
                                    </a:prstGeom>
                                    <a:noFill/>
                                    <a:ln>
                                      <a:noFill/>
                                    </a:ln>
                                  </pic:spPr>
                                </pic:pic>
                              </a:graphicData>
                            </a:graphic>
                          </wp:inline>
                        </w:drawing>
                      </w:r>
                    </w:p>
                  </w:txbxContent>
                </v:textbox>
                <w10:wrap type="tight" anchorx="margin"/>
              </v:shape>
            </w:pict>
          </mc:Fallback>
        </mc:AlternateContent>
      </w:r>
      <w:r w:rsidR="001D0236">
        <w:t>Results</w:t>
      </w:r>
    </w:p>
    <w:p w14:paraId="51E04D48" w14:textId="77777777" w:rsidR="0042303C" w:rsidRDefault="00601FA1" w:rsidP="009A3B17">
      <w:pPr>
        <w:pStyle w:val="BodyText"/>
      </w:pPr>
      <w:r>
        <w:t>We trained three baseline methods which differ from each other by the pool of the n-gram features.</w:t>
      </w:r>
      <w:r w:rsidR="00F511D3">
        <w:t xml:space="preserve"> First, a model was trained over 5000 unigram features that appeared the most across all samples. </w:t>
      </w:r>
      <w:r w:rsidR="0042303C">
        <w:t>Then, to take advantage of the temporal nature of the inputs, we trained a similar model but over 5000 bi-gram features, and finally, we trained a separate model which include all features from both these models.</w:t>
      </w:r>
      <w:r w:rsidR="00BF5CD1">
        <w:t xml:space="preserve"> </w:t>
      </w:r>
      <w:r w:rsidR="0017187C">
        <w:t>For the proposed model, w</w:t>
      </w:r>
      <w:r w:rsidR="009378F6">
        <w:t>e empirically chose sub-optimal hyper-parameters</w:t>
      </w:r>
      <w:r w:rsidR="0017187C">
        <w:t xml:space="preserve"> and model architecture</w:t>
      </w:r>
      <w:r w:rsidR="009378F6">
        <w:t xml:space="preserve"> that work best on the training set. In particular,</w:t>
      </w:r>
      <w:r w:rsidR="0017187C">
        <w:t xml:space="preserve"> we selected the memory size of each LSTM block to be 30 and the drop-out ratio to be 0.1.</w:t>
      </w:r>
      <w:r w:rsidR="00942CBC">
        <w:t xml:space="preserve"> We trained the network </w:t>
      </w:r>
      <w:r w:rsidR="009A3B17">
        <w:t xml:space="preserve">over Tesla </w:t>
      </w:r>
      <w:r w:rsidR="009A3B17" w:rsidRPr="009A3B17">
        <w:t>C2050 GPUs</w:t>
      </w:r>
      <w:r w:rsidR="009A3B17">
        <w:rPr>
          <w:rFonts w:ascii="Arial" w:eastAsia="Times New Roman" w:hAnsi="Arial" w:cs="Arial"/>
          <w:color w:val="2F3746"/>
          <w:sz w:val="19"/>
          <w:szCs w:val="19"/>
        </w:rPr>
        <w:t xml:space="preserve"> </w:t>
      </w:r>
      <w:r w:rsidR="00942CBC">
        <w:t>with RMSProp, an efficient optimization technique for training deep models,</w:t>
      </w:r>
      <w:r w:rsidR="009A3B17">
        <w:t xml:space="preserve"> for 40 training epochs and</w:t>
      </w:r>
      <w:r w:rsidR="00942CBC">
        <w:t xml:space="preserve"> a learning rate of 0.003.</w:t>
      </w:r>
    </w:p>
    <w:p w14:paraId="25019475" w14:textId="77777777" w:rsidR="00581157" w:rsidRPr="0001157F" w:rsidRDefault="00581157" w:rsidP="000F32D4">
      <w:pPr>
        <w:pStyle w:val="BodyText"/>
      </w:pPr>
      <w:r>
        <w:t xml:space="preserve">We evaluated the DeepDeath as well as the baselines over the </w:t>
      </w:r>
      <w:r w:rsidR="00566873">
        <w:t xml:space="preserve">randomly </w:t>
      </w:r>
      <w:r>
        <w:t xml:space="preserve">compiled test set. Table 1 compares the accuracies </w:t>
      </w:r>
      <w:r w:rsidR="00566873">
        <w:t>achieved for each model.</w:t>
      </w:r>
      <w:r w:rsidR="00956643">
        <w:t xml:space="preserve"> According to the </w:t>
      </w:r>
      <w:r w:rsidR="00566873">
        <w:t xml:space="preserve">table, all the four models result in an accuracy </w:t>
      </w:r>
      <w:r w:rsidR="00A23657">
        <w:t>significantly higher than the accuracy derived from the random classifier (1.49%). While the</w:t>
      </w:r>
      <w:r w:rsidR="00956643">
        <w:t xml:space="preserve"> uni-gram features turn out to be more informative than the bi-gram features, interestingly, the integration of these two results in 2.56% improvement in classification performance, suggesting that </w:t>
      </w:r>
      <w:r w:rsidR="0079461D">
        <w:t xml:space="preserve">the temporal nature of the data convey some useful information that cannot be otherwise captured. Finally, amongst the four models, DeepDeath is performing the best </w:t>
      </w:r>
      <w:r w:rsidR="00354BC3">
        <w:t>due to its ability in learning sequential data. A noteworthy point is that, as opposed to the baselines, we don’t need to hand-craft features using ad-hoc rules proposed by an expert, rather, without having any intuition about the nature of the data, the LSTM network can learn the rules of its own. In fact, this observation has been confirmed in numerous other applications and is a key factor leading to the versatility of deep models, and LSTMs in particular.</w:t>
      </w:r>
    </w:p>
    <w:p w14:paraId="48A9030D" w14:textId="77777777" w:rsidR="004B00EA" w:rsidRDefault="004B00EA" w:rsidP="00566873">
      <w:pPr>
        <w:pStyle w:val="tablehead"/>
        <w:tabs>
          <w:tab w:val="num" w:pos="1080"/>
        </w:tabs>
      </w:pPr>
      <w:r>
        <w:t xml:space="preserve">Table </w:t>
      </w:r>
      <w:r>
        <w:fldChar w:fldCharType="begin"/>
      </w:r>
      <w:r>
        <w:instrText xml:space="preserve"> SEQ Table \* ARABIC </w:instrText>
      </w:r>
      <w:r>
        <w:fldChar w:fldCharType="separate"/>
      </w:r>
      <w:r w:rsidR="00866F05">
        <w:t>1</w:t>
      </w:r>
      <w:r>
        <w:fldChar w:fldCharType="end"/>
      </w:r>
      <w:r>
        <w:t xml:space="preserve">: </w:t>
      </w:r>
      <w:r w:rsidRPr="00C909C1">
        <w:t xml:space="preserve">Performance comparision between </w:t>
      </w:r>
      <w:r w:rsidR="00566873">
        <w:t xml:space="preserve">predictions made by the </w:t>
      </w:r>
      <w:r w:rsidRPr="00C909C1">
        <w:t>baselines and the DeepDeath</w:t>
      </w:r>
      <w:r w:rsidR="00566873">
        <w:t xml:space="preserve"> on 67 labels</w:t>
      </w:r>
    </w:p>
    <w:tbl>
      <w:tblPr>
        <w:tblStyle w:val="TableGrid"/>
        <w:tblW w:w="0" w:type="auto"/>
        <w:tblLook w:val="04A0" w:firstRow="1" w:lastRow="0" w:firstColumn="1" w:lastColumn="0" w:noHBand="0" w:noVBand="1"/>
      </w:tblPr>
      <w:tblGrid>
        <w:gridCol w:w="723"/>
        <w:gridCol w:w="1000"/>
        <w:gridCol w:w="939"/>
        <w:gridCol w:w="1252"/>
        <w:gridCol w:w="972"/>
      </w:tblGrid>
      <w:tr w:rsidR="00A94354" w14:paraId="4C09BE17" w14:textId="77777777" w:rsidTr="00456B5C">
        <w:tc>
          <w:tcPr>
            <w:tcW w:w="723" w:type="dxa"/>
            <w:vMerge w:val="restart"/>
          </w:tcPr>
          <w:p w14:paraId="16E6EC8E" w14:textId="77777777" w:rsidR="00A94354" w:rsidRDefault="00A94354" w:rsidP="00A54191">
            <w:pPr>
              <w:pStyle w:val="tablecolhead"/>
            </w:pPr>
          </w:p>
          <w:p w14:paraId="340DCD77" w14:textId="77777777" w:rsidR="00A94354" w:rsidRPr="006E4421" w:rsidRDefault="00A94354" w:rsidP="00A54191">
            <w:pPr>
              <w:pStyle w:val="tablecolhead"/>
            </w:pPr>
          </w:p>
        </w:tc>
        <w:tc>
          <w:tcPr>
            <w:tcW w:w="3191" w:type="dxa"/>
            <w:gridSpan w:val="3"/>
            <w:vAlign w:val="center"/>
          </w:tcPr>
          <w:p w14:paraId="10902BD2" w14:textId="77777777" w:rsidR="00A94354" w:rsidRPr="006E4421" w:rsidRDefault="00A94354" w:rsidP="00A54191">
            <w:pPr>
              <w:pStyle w:val="tablecolhead"/>
            </w:pPr>
            <w:r w:rsidRPr="006E4421">
              <w:t>Random Forest on Hadoop</w:t>
            </w:r>
          </w:p>
        </w:tc>
        <w:tc>
          <w:tcPr>
            <w:tcW w:w="972" w:type="dxa"/>
            <w:vMerge w:val="restart"/>
          </w:tcPr>
          <w:p w14:paraId="05EDC5C0" w14:textId="77777777" w:rsidR="00A94354" w:rsidRDefault="00A94354" w:rsidP="00A54191">
            <w:pPr>
              <w:pStyle w:val="tablecolhead"/>
            </w:pPr>
          </w:p>
          <w:p w14:paraId="0DC7FB8B" w14:textId="77777777" w:rsidR="00A94354" w:rsidRPr="006E4421" w:rsidRDefault="00A94354" w:rsidP="00A54191">
            <w:pPr>
              <w:pStyle w:val="tablecolhead"/>
            </w:pPr>
            <w:r w:rsidRPr="006E4421">
              <w:t>DeepDeath</w:t>
            </w:r>
          </w:p>
        </w:tc>
      </w:tr>
      <w:tr w:rsidR="00A94354" w14:paraId="5D66ABB4" w14:textId="77777777" w:rsidTr="00456B5C">
        <w:tc>
          <w:tcPr>
            <w:tcW w:w="723" w:type="dxa"/>
            <w:vMerge/>
          </w:tcPr>
          <w:p w14:paraId="2CCE53D8" w14:textId="77777777" w:rsidR="00A94354" w:rsidRDefault="00A94354" w:rsidP="006E4421">
            <w:pPr>
              <w:pStyle w:val="tablecolsubhead"/>
            </w:pPr>
          </w:p>
        </w:tc>
        <w:tc>
          <w:tcPr>
            <w:tcW w:w="1000" w:type="dxa"/>
          </w:tcPr>
          <w:p w14:paraId="027356FF" w14:textId="77777777" w:rsidR="00A94354" w:rsidRDefault="00A94354" w:rsidP="006E4421">
            <w:pPr>
              <w:pStyle w:val="tablecolsubhead"/>
            </w:pPr>
            <w:r>
              <w:t>UniGram</w:t>
            </w:r>
          </w:p>
          <w:p w14:paraId="1DDD19BB" w14:textId="77777777" w:rsidR="00A94354" w:rsidRDefault="00A94354" w:rsidP="006E4421">
            <w:pPr>
              <w:pStyle w:val="tablecolsubhead"/>
            </w:pPr>
            <w:r>
              <w:t>(5000)</w:t>
            </w:r>
          </w:p>
        </w:tc>
        <w:tc>
          <w:tcPr>
            <w:tcW w:w="939" w:type="dxa"/>
          </w:tcPr>
          <w:p w14:paraId="4630CB0A" w14:textId="77777777" w:rsidR="00A94354" w:rsidRDefault="00A94354" w:rsidP="006E4421">
            <w:pPr>
              <w:pStyle w:val="tablecolsubhead"/>
            </w:pPr>
            <w:r>
              <w:t>BiGram</w:t>
            </w:r>
          </w:p>
          <w:p w14:paraId="58EA20A3" w14:textId="77777777" w:rsidR="00A94354" w:rsidRDefault="00A94354" w:rsidP="006E4421">
            <w:pPr>
              <w:pStyle w:val="tablecolsubhead"/>
            </w:pPr>
            <w:r>
              <w:t>(5000)</w:t>
            </w:r>
          </w:p>
        </w:tc>
        <w:tc>
          <w:tcPr>
            <w:tcW w:w="1252" w:type="dxa"/>
          </w:tcPr>
          <w:p w14:paraId="28F2FD89" w14:textId="77777777" w:rsidR="00A94354" w:rsidRDefault="00A94354" w:rsidP="006E4421">
            <w:pPr>
              <w:pStyle w:val="tablecolsubhead"/>
            </w:pPr>
            <w:r>
              <w:t>Uni+BiGram</w:t>
            </w:r>
          </w:p>
          <w:p w14:paraId="0CF52EF7" w14:textId="77777777" w:rsidR="00A94354" w:rsidRDefault="00A94354" w:rsidP="006E4421">
            <w:pPr>
              <w:pStyle w:val="tablecolsubhead"/>
            </w:pPr>
            <w:r>
              <w:t>(10000</w:t>
            </w:r>
            <w:r w:rsidR="0001157F">
              <w:t>)</w:t>
            </w:r>
          </w:p>
        </w:tc>
        <w:tc>
          <w:tcPr>
            <w:tcW w:w="972" w:type="dxa"/>
            <w:vMerge/>
          </w:tcPr>
          <w:p w14:paraId="35176411" w14:textId="77777777" w:rsidR="00A94354" w:rsidRDefault="00A94354" w:rsidP="006E4421"/>
        </w:tc>
      </w:tr>
      <w:tr w:rsidR="006E4421" w14:paraId="58FA567B" w14:textId="77777777" w:rsidTr="00456B5C">
        <w:tc>
          <w:tcPr>
            <w:tcW w:w="723" w:type="dxa"/>
          </w:tcPr>
          <w:p w14:paraId="46D5F5D3" w14:textId="77777777" w:rsidR="006E4421" w:rsidRDefault="0024063A" w:rsidP="00A150E3">
            <w:pPr>
              <w:pStyle w:val="tablecolhead"/>
            </w:pPr>
            <w:r>
              <w:t>ACC</w:t>
            </w:r>
          </w:p>
          <w:p w14:paraId="19448CE7" w14:textId="77777777" w:rsidR="007C48BD" w:rsidRDefault="007C48BD" w:rsidP="00A150E3">
            <w:pPr>
              <w:pStyle w:val="tablecolhead"/>
            </w:pPr>
            <w:r>
              <w:t>(67 classes)</w:t>
            </w:r>
          </w:p>
        </w:tc>
        <w:tc>
          <w:tcPr>
            <w:tcW w:w="1000" w:type="dxa"/>
          </w:tcPr>
          <w:p w14:paraId="75DE26F2" w14:textId="77777777" w:rsidR="007C48BD" w:rsidRDefault="007C48BD" w:rsidP="00A150E3">
            <w:pPr>
              <w:jc w:val="center"/>
            </w:pPr>
          </w:p>
          <w:p w14:paraId="6689187C" w14:textId="77777777" w:rsidR="006E4421" w:rsidRDefault="00A150E3" w:rsidP="00A150E3">
            <w:pPr>
              <w:jc w:val="center"/>
            </w:pPr>
            <w:r>
              <w:t>31.92%</w:t>
            </w:r>
          </w:p>
        </w:tc>
        <w:tc>
          <w:tcPr>
            <w:tcW w:w="939" w:type="dxa"/>
          </w:tcPr>
          <w:p w14:paraId="347D2F94" w14:textId="77777777" w:rsidR="007C48BD" w:rsidRDefault="007C48BD" w:rsidP="00A150E3">
            <w:pPr>
              <w:jc w:val="center"/>
            </w:pPr>
          </w:p>
          <w:p w14:paraId="41971523" w14:textId="77777777" w:rsidR="006E4421" w:rsidRDefault="00A150E3" w:rsidP="00A150E3">
            <w:pPr>
              <w:jc w:val="center"/>
            </w:pPr>
            <w:r>
              <w:t>22.11%</w:t>
            </w:r>
          </w:p>
        </w:tc>
        <w:tc>
          <w:tcPr>
            <w:tcW w:w="1252" w:type="dxa"/>
          </w:tcPr>
          <w:p w14:paraId="5C12A76B" w14:textId="77777777" w:rsidR="007C48BD" w:rsidRDefault="007C48BD" w:rsidP="00A150E3">
            <w:pPr>
              <w:jc w:val="center"/>
            </w:pPr>
          </w:p>
          <w:p w14:paraId="52ADAD8E" w14:textId="77777777" w:rsidR="006E4421" w:rsidRDefault="00EC0C6A" w:rsidP="00A150E3">
            <w:pPr>
              <w:jc w:val="center"/>
            </w:pPr>
            <w:r>
              <w:t>34.48%</w:t>
            </w:r>
          </w:p>
        </w:tc>
        <w:tc>
          <w:tcPr>
            <w:tcW w:w="972" w:type="dxa"/>
          </w:tcPr>
          <w:p w14:paraId="6BE7F9D3" w14:textId="77777777" w:rsidR="007C48BD" w:rsidRDefault="007C48BD" w:rsidP="00A150E3">
            <w:pPr>
              <w:jc w:val="center"/>
            </w:pPr>
          </w:p>
          <w:p w14:paraId="3D67FA4E" w14:textId="77777777" w:rsidR="006E4421" w:rsidRDefault="00EC0C6A" w:rsidP="00184CBD">
            <w:pPr>
              <w:jc w:val="center"/>
            </w:pPr>
            <w:r w:rsidRPr="0079461D">
              <w:rPr>
                <w:b/>
                <w:bCs/>
              </w:rPr>
              <w:t>36.9</w:t>
            </w:r>
            <w:r w:rsidR="00184CBD" w:rsidRPr="0079461D">
              <w:rPr>
                <w:b/>
                <w:bCs/>
              </w:rPr>
              <w:t>8</w:t>
            </w:r>
            <w:r>
              <w:t>%</w:t>
            </w:r>
          </w:p>
        </w:tc>
      </w:tr>
    </w:tbl>
    <w:p w14:paraId="16D485DA" w14:textId="77777777" w:rsidR="00456B5C" w:rsidRDefault="00456B5C" w:rsidP="00456B5C">
      <w:pPr>
        <w:jc w:val="both"/>
      </w:pPr>
    </w:p>
    <w:p w14:paraId="721FB583" w14:textId="5B749F1A" w:rsidR="00456B5C" w:rsidRPr="001738EB" w:rsidRDefault="00150BA1" w:rsidP="00541D30">
      <w:pPr>
        <w:pStyle w:val="BodyText"/>
      </w:pPr>
      <w:r>
        <w:t xml:space="preserve">One of the big the big caveats of deep pipelines is the lack of interpretability. As opposed to many classical models such decision trees, deep models do not generate understandable rules that human can utilize to generalize the concept. </w:t>
      </w:r>
      <w:r w:rsidR="00726B25">
        <w:t xml:space="preserve">In light of this shortcoming, we were interested to </w:t>
      </w:r>
      <w:r w:rsidR="000F32D4">
        <w:t xml:space="preserve">see how interpretable are the </w:t>
      </w:r>
      <w:r w:rsidR="00726B25">
        <w:t xml:space="preserve">intermediate features that DeapDeath generate. </w:t>
      </w:r>
      <w:r w:rsidR="000F32D4">
        <w:t>To this end, upon training the model, we removed the SoftMax and the drop-out layers and</w:t>
      </w:r>
      <w:r w:rsidR="00963154">
        <w:t xml:space="preserve"> applied the model to the test set and</w:t>
      </w:r>
      <w:r w:rsidR="000F32D4">
        <w:t xml:space="preserve"> stored the intermediate features that the fully connected layer generates per each sample. Then</w:t>
      </w:r>
      <w:r w:rsidR="00963154">
        <w:t>,</w:t>
      </w:r>
      <w:r w:rsidR="000F32D4">
        <w:t xml:space="preserve"> we marked each death either as a death </w:t>
      </w:r>
      <w:r w:rsidR="0006380A">
        <w:t>caused by an infectious</w:t>
      </w:r>
      <w:r w:rsidR="00963154">
        <w:t xml:space="preserve"> or parasitic</w:t>
      </w:r>
      <w:r w:rsidR="0006380A">
        <w:t xml:space="preserve"> disease </w:t>
      </w:r>
      <w:r w:rsidR="0006380A" w:rsidRPr="008F3F95">
        <w:t>(</w:t>
      </w:r>
      <w:r w:rsidR="00541D30">
        <w:t xml:space="preserve">if the </w:t>
      </w:r>
      <w:r w:rsidR="0006380A" w:rsidRPr="008F3F95">
        <w:t xml:space="preserve">ICD-10 code </w:t>
      </w:r>
      <w:r w:rsidR="00541D30">
        <w:t xml:space="preserve">for the underlying cause </w:t>
      </w:r>
      <w:r w:rsidR="0006380A" w:rsidRPr="008F3F95">
        <w:t>start</w:t>
      </w:r>
      <w:r w:rsidR="00541D30">
        <w:t>s</w:t>
      </w:r>
      <w:bookmarkStart w:id="2" w:name="_GoBack"/>
      <w:bookmarkEnd w:id="2"/>
      <w:r w:rsidR="0006380A" w:rsidRPr="008F3F95">
        <w:t xml:space="preserve"> with “A” or “B”)</w:t>
      </w:r>
      <w:r w:rsidR="0006380A">
        <w:t xml:space="preserve"> or a non-infectious cause (i.e. all others). Next, we used </w:t>
      </w:r>
      <w:r w:rsidR="000F32D4" w:rsidRPr="008F3F95">
        <w:t xml:space="preserve">t-SNE </w:t>
      </w:r>
      <w:r w:rsidR="000F32D4" w:rsidRPr="008F3F95">
        <w:fldChar w:fldCharType="begin"/>
      </w:r>
      <w:r w:rsidR="000F32D4">
        <w:instrText xml:space="preserve"> ADDIN EN.CITE &lt;EndNote&gt;&lt;Cite&gt;&lt;Author&gt;Maaten&lt;/Author&gt;&lt;Year&gt;2008&lt;/Year&gt;&lt;RecNum&gt;157&lt;/RecNum&gt;&lt;DisplayText&gt;[21]&lt;/DisplayText&gt;&lt;record&gt;&lt;rec-number&gt;157&lt;/rec-number&gt;&lt;foreign-keys&gt;&lt;key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000F32D4" w:rsidRPr="008F3F95">
        <w:fldChar w:fldCharType="separate"/>
      </w:r>
      <w:r w:rsidR="000F32D4">
        <w:rPr>
          <w:noProof/>
        </w:rPr>
        <w:t>[21]</w:t>
      </w:r>
      <w:r w:rsidR="000F32D4" w:rsidRPr="008F3F95">
        <w:fldChar w:fldCharType="end"/>
      </w:r>
      <w:r w:rsidR="0006380A">
        <w:t xml:space="preserve"> a popular visualization technique that maintains the locality of the samples</w:t>
      </w:r>
      <w:r w:rsidR="00963154">
        <w:t>,</w:t>
      </w:r>
      <w:r w:rsidR="0006380A">
        <w:t xml:space="preserve"> to map the features into </w:t>
      </w:r>
      <w:r w:rsidR="0006380A">
        <w:lastRenderedPageBreak/>
        <w:t xml:space="preserve">a 2D plane. Our </w:t>
      </w:r>
      <w:r w:rsidR="00E57460">
        <w:rPr>
          <w:noProof/>
          <w:lang w:eastAsia="zh-TW"/>
        </w:rPr>
        <mc:AlternateContent>
          <mc:Choice Requires="wps">
            <w:drawing>
              <wp:anchor distT="0" distB="0" distL="114300" distR="114300" simplePos="0" relativeHeight="251673088" behindDoc="1" locked="0" layoutInCell="1" allowOverlap="1" wp14:anchorId="5515441E" wp14:editId="5F52EC21">
                <wp:simplePos x="0" y="0"/>
                <wp:positionH relativeFrom="margin">
                  <wp:posOffset>38100</wp:posOffset>
                </wp:positionH>
                <wp:positionV relativeFrom="paragraph">
                  <wp:posOffset>105410</wp:posOffset>
                </wp:positionV>
                <wp:extent cx="3053080" cy="2456815"/>
                <wp:effectExtent l="0" t="0" r="0" b="635"/>
                <wp:wrapTight wrapText="bothSides">
                  <wp:wrapPolygon edited="0">
                    <wp:start x="0" y="0"/>
                    <wp:lineTo x="0" y="21438"/>
                    <wp:lineTo x="21429" y="21438"/>
                    <wp:lineTo x="21429"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080" cy="2456815"/>
                        </a:xfrm>
                        <a:prstGeom prst="rect">
                          <a:avLst/>
                        </a:prstGeom>
                        <a:solidFill>
                          <a:srgbClr val="FFFFFF"/>
                        </a:solidFill>
                        <a:ln w="9525">
                          <a:noFill/>
                          <a:miter lim="800000"/>
                          <a:headEnd/>
                          <a:tailEnd/>
                        </a:ln>
                      </wps:spPr>
                      <wps:txb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TW"/>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15441E" id="_x0000_s1029" type="#_x0000_t202" style="position:absolute;left:0;text-align:left;margin-left:3pt;margin-top:8.3pt;width:240.4pt;height:193.45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" stroked="f">
                <v:textbox>
                  <w:txbxContent>
                    <w:p w14:paraId="42CFA41E" w14:textId="77777777" w:rsidR="0006380A" w:rsidRDefault="0006380A" w:rsidP="0006380A">
                      <w:pPr>
                        <w:pStyle w:val="figurecaption"/>
                      </w:pPr>
                      <w:r w:rsidRPr="0006380A">
                        <w:t xml:space="preserve">Visualization of </w:t>
                      </w:r>
                      <w:r>
                        <w:t xml:space="preserve">intermediate </w:t>
                      </w:r>
                      <w:r w:rsidRPr="0006380A">
                        <w:t>features g</w:t>
                      </w:r>
                      <w:r>
                        <w:t>enerated by DeepDeath for deaths with infectious and parasitic causes vs. the others.</w:t>
                      </w:r>
                      <w:r>
                        <w:rPr>
                          <w:lang w:eastAsia="zh-CN"/>
                        </w:rPr>
                        <w:drawing>
                          <wp:inline distT="0" distB="0" distL="0" distR="0" wp14:anchorId="54AA254F" wp14:editId="1E662836">
                            <wp:extent cx="2845558" cy="2056527"/>
                            <wp:effectExtent l="0" t="0" r="0" b="1270"/>
                            <wp:docPr id="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r w:rsidR="0006380A">
        <w:t xml:space="preserve">understanding is that </w:t>
      </w:r>
      <w:r w:rsidR="00456B5C" w:rsidRPr="008F3F95">
        <w:t>the patholog</w:t>
      </w:r>
      <w:r w:rsidR="0006380A">
        <w:t>y</w:t>
      </w:r>
      <w:r w:rsidR="00456B5C" w:rsidRPr="008F3F95">
        <w:t xml:space="preserve"> and disease progression patterns of infectious and parasitic diseases are</w:t>
      </w:r>
      <w:r w:rsidR="003848A0">
        <w:t xml:space="preserve"> often</w:t>
      </w:r>
      <w:r w:rsidR="00456B5C" w:rsidRPr="008F3F95">
        <w:t xml:space="preserve"> different from other diseases. </w:t>
      </w:r>
      <w:r w:rsidR="0006380A">
        <w:t xml:space="preserve">Figure 4 depicts the resulting visualization. Interestingly, </w:t>
      </w:r>
      <w:r w:rsidR="00DA4866">
        <w:t xml:space="preserve">we observe that there is a meaningful pattern observed among the samples in </w:t>
      </w:r>
      <w:r w:rsidR="003848A0">
        <w:t>each group</w:t>
      </w:r>
      <w:r w:rsidR="00DA4866">
        <w:t xml:space="preserve"> suggesting</w:t>
      </w:r>
      <w:r w:rsidR="003848A0">
        <w:t xml:space="preserve"> </w:t>
      </w:r>
      <w:r w:rsidR="00DA4866">
        <w:t xml:space="preserve">that intermediate features that are generated from the raw features (i.e. the multiple cause trajectories) can be visualized and interpreted by human experts. </w:t>
      </w:r>
    </w:p>
    <w:p w14:paraId="45836112" w14:textId="77777777" w:rsidR="00C2692F" w:rsidRDefault="00C2692F">
      <w:pPr>
        <w:pStyle w:val="Heading1"/>
      </w:pPr>
      <w:r>
        <w:t>Conclusion</w:t>
      </w:r>
      <w:r w:rsidR="006A58EE">
        <w:t xml:space="preserve"> and Discussion</w:t>
      </w:r>
    </w:p>
    <w:p w14:paraId="5C2FBA64" w14:textId="76688EB1" w:rsidR="009B46A1" w:rsidRDefault="00B67B4E" w:rsidP="009B46A1">
      <w:pPr>
        <w:pStyle w:val="Text"/>
      </w:pPr>
      <w:r>
        <w:t>In this study, we proposed two classes of models for analyzing large scale mortality data. We showed that both classes significantly perform better than the random classifier.</w:t>
      </w:r>
      <w:r w:rsidR="002A7B1D">
        <w:t xml:space="preserve"> Moreover, through addition of bi-gram features to uni-gram features, we showed that if temporal aspects of the input data captured properly, an improvement on the classification task can be achieved, a fact that motivated us to design a model based on the deep long short-term memory networks.</w:t>
      </w:r>
      <w:r w:rsidR="009B46A1">
        <w:t xml:space="preserve"> One of the active research directions in the field of deep learning is finding effective ways to interpret what deep models learn. In this study we used visualization of the intermediate features as a first step to solve this problem and we showed that meaningful clusters of intermediate features may help understanding what salient features the deep models have learned. </w:t>
      </w:r>
    </w:p>
    <w:p w14:paraId="2E0E79C7" w14:textId="66D9E516" w:rsidR="004B4919" w:rsidRDefault="009B46A1" w:rsidP="005A5A2F">
      <w:pPr>
        <w:pStyle w:val="Text"/>
      </w:pPr>
      <w:r>
        <w:t xml:space="preserve">This study sets the stage for a comprehensive decision support system that can </w:t>
      </w:r>
      <w:r w:rsidR="0039397B">
        <w:t xml:space="preserve">assist </w:t>
      </w:r>
      <w:r>
        <w:t xml:space="preserve">physicians and practitioners </w:t>
      </w:r>
      <w:r w:rsidR="0039397B">
        <w:t xml:space="preserve">in </w:t>
      </w:r>
      <w:r>
        <w:t>fill</w:t>
      </w:r>
      <w:r w:rsidR="0039397B">
        <w:t>ing</w:t>
      </w:r>
      <w:r>
        <w:t xml:space="preserve"> out the death certificate correctly. As a future work, we are interested to develop generative (as opposed to the current discriminative) models that can suggest the most probab</w:t>
      </w:r>
      <w:r w:rsidR="005A5A2F">
        <w:t>ly</w:t>
      </w:r>
      <w:r>
        <w:t xml:space="preserve"> correct way to fill out the death certificate forms</w:t>
      </w:r>
      <w:r w:rsidR="005A5A2F">
        <w:t xml:space="preserve"> given the available data that physician/practitioner has in hand</w:t>
      </w:r>
      <w:r>
        <w:t>.</w:t>
      </w:r>
    </w:p>
    <w:p w14:paraId="7A5B41CE" w14:textId="77777777" w:rsidR="00B17CC9" w:rsidRDefault="00B17CC9" w:rsidP="00B17CC9">
      <w:pPr>
        <w:pStyle w:val="ReferenceHead"/>
      </w:pPr>
      <w:r>
        <w:t>Acknowledgment</w:t>
      </w:r>
    </w:p>
    <w:p w14:paraId="19F871ED" w14:textId="60414730" w:rsidR="00B17CC9" w:rsidRDefault="00B17CC9" w:rsidP="00B17CC9">
      <w:pPr>
        <w:pStyle w:val="Text"/>
        <w:spacing w:after="120" w:line="228" w:lineRule="auto"/>
        <w:ind w:firstLine="288"/>
      </w:pPr>
      <w:r w:rsidRPr="005B520E">
        <w:t xml:space="preserve">The </w:t>
      </w:r>
      <w:r>
        <w:t>authors thank Janani Venugopalan and Hang Wu for their help in preparing this manuscript.</w:t>
      </w:r>
    </w:p>
    <w:p w14:paraId="1C802013" w14:textId="77777777" w:rsidR="00B17CC9" w:rsidRDefault="00B17CC9" w:rsidP="005A5A2F">
      <w:pPr>
        <w:pStyle w:val="Text"/>
      </w:pPr>
    </w:p>
    <w:p w14:paraId="7C628CE6" w14:textId="31F613C2" w:rsidR="00C2692F" w:rsidRDefault="00C2692F">
      <w:pPr>
        <w:pStyle w:val="ReferenceHead"/>
      </w:pPr>
      <w:r>
        <w:t>References</w:t>
      </w:r>
    </w:p>
    <w:p w14:paraId="6BC449F0" w14:textId="0CE0EB81" w:rsidR="0006380A" w:rsidRPr="0006380A" w:rsidRDefault="00DE7DE9" w:rsidP="008E1460">
      <w:pPr>
        <w:pStyle w:val="EndNoteBibliography"/>
        <w:ind w:left="360" w:hanging="360"/>
      </w:pPr>
      <w:r>
        <w:fldChar w:fldCharType="begin"/>
      </w:r>
      <w:r>
        <w:instrText xml:space="preserve"> ADDIN EN.REFLIST </w:instrText>
      </w:r>
      <w:r>
        <w:fldChar w:fldCharType="separate"/>
      </w:r>
      <w:r w:rsidR="0006380A" w:rsidRPr="0006380A">
        <w:t>[1]</w:t>
      </w:r>
      <w:r w:rsidR="0006380A" w:rsidRPr="0006380A">
        <w:tab/>
        <w:t xml:space="preserve">E. G. Brooks and K. D. Reed, "Principles and pitfalls: a guide to death certification," </w:t>
      </w:r>
      <w:r w:rsidR="0006380A" w:rsidRPr="0006380A">
        <w:rPr>
          <w:i/>
        </w:rPr>
        <w:t xml:space="preserve">Clinical medicine &amp; research, </w:t>
      </w:r>
      <w:r w:rsidR="0006380A" w:rsidRPr="0006380A">
        <w:t>vol. 13, pp. 74-82, 2015.</w:t>
      </w:r>
    </w:p>
    <w:p w14:paraId="64557C17" w14:textId="28C4F9A5" w:rsidR="0006380A" w:rsidRPr="0006380A" w:rsidRDefault="0006380A" w:rsidP="008E1460">
      <w:pPr>
        <w:pStyle w:val="EndNoteBibliography"/>
        <w:ind w:left="360" w:hanging="360"/>
      </w:pPr>
      <w:r w:rsidRPr="0006380A">
        <w:t>[2]</w:t>
      </w:r>
      <w:r w:rsidRPr="0006380A">
        <w:tab/>
        <w:t xml:space="preserve">P. Jha, "Counting the dead is one of the world’s best investments to reduce premature mortality," </w:t>
      </w:r>
      <w:r w:rsidRPr="0006380A">
        <w:rPr>
          <w:i/>
        </w:rPr>
        <w:t xml:space="preserve">Hypothesis, </w:t>
      </w:r>
      <w:r w:rsidRPr="0006380A">
        <w:t>vol. 10, p. e3, 2012.</w:t>
      </w:r>
    </w:p>
    <w:p w14:paraId="3E865A98" w14:textId="02B85325" w:rsidR="0006380A" w:rsidRPr="0006380A" w:rsidRDefault="0006380A" w:rsidP="008E1460">
      <w:pPr>
        <w:pStyle w:val="EndNoteBibliography"/>
        <w:ind w:left="360" w:hanging="360"/>
      </w:pPr>
      <w:r w:rsidRPr="0006380A">
        <w:t>[3]</w:t>
      </w:r>
      <w:r w:rsidRPr="0006380A">
        <w:tab/>
        <w:t xml:space="preserve">T. L. Chorba, R. C. Holman, M. J. Clarke, and B. L. Evatt, "Effects of HIV infection on age and cause of death for persons with hemophilia A in the United States," </w:t>
      </w:r>
      <w:r w:rsidRPr="0006380A">
        <w:rPr>
          <w:i/>
        </w:rPr>
        <w:t xml:space="preserve">American journal of hematology, </w:t>
      </w:r>
      <w:r w:rsidRPr="0006380A">
        <w:t>vol. 66, pp. 229-240, 2001.</w:t>
      </w:r>
    </w:p>
    <w:p w14:paraId="434E43B3" w14:textId="6825BFB7" w:rsidR="0006380A" w:rsidRPr="0006380A" w:rsidRDefault="0006380A" w:rsidP="008E1460">
      <w:pPr>
        <w:pStyle w:val="EndNoteBibliography"/>
        <w:ind w:left="360" w:hanging="360"/>
      </w:pPr>
      <w:r w:rsidRPr="0006380A">
        <w:t>[4]</w:t>
      </w:r>
      <w:r w:rsidRPr="0006380A">
        <w:tab/>
        <w:t>W. C. Hooper, R. C. Holman, M. Clarke, and T. L. Chorba, "Trends in non</w:t>
      </w:r>
      <w:r w:rsidRPr="0006380A">
        <w:rPr>
          <w:rFonts w:ascii="Cambria Math" w:hAnsi="Cambria Math" w:cs="Cambria Math"/>
        </w:rPr>
        <w:t>‐</w:t>
      </w:r>
      <w:r w:rsidRPr="0006380A">
        <w:t>hodgkin lymphoma (NHL) and HIV</w:t>
      </w:r>
      <w:r w:rsidRPr="0006380A">
        <w:rPr>
          <w:rFonts w:ascii="Cambria Math" w:hAnsi="Cambria Math" w:cs="Cambria Math"/>
        </w:rPr>
        <w:t>‐</w:t>
      </w:r>
      <w:r w:rsidRPr="0006380A">
        <w:t xml:space="preserve">associated NHL deaths in the United States," </w:t>
      </w:r>
      <w:r w:rsidRPr="0006380A">
        <w:rPr>
          <w:i/>
        </w:rPr>
        <w:t xml:space="preserve">American journal of hematology, </w:t>
      </w:r>
      <w:r w:rsidRPr="0006380A">
        <w:t>vol. 66, pp. 159-166, 2001.</w:t>
      </w:r>
    </w:p>
    <w:p w14:paraId="2C87F2A2" w14:textId="77777777" w:rsidR="0006380A" w:rsidRPr="0006380A" w:rsidRDefault="0006380A" w:rsidP="008E1460">
      <w:pPr>
        <w:pStyle w:val="EndNoteBibliography"/>
        <w:ind w:left="360" w:hanging="360"/>
      </w:pPr>
      <w:r w:rsidRPr="0006380A">
        <w:t>[5]</w:t>
      </w:r>
      <w:r w:rsidRPr="0006380A">
        <w:tab/>
        <w:t xml:space="preserve">D. M. Mannino, C. Brown, and G. A. Giovino, "Obstructive lung disease deaths in the United States from 1979 through 1993: an analysis using multiple-cause mortality data," </w:t>
      </w:r>
      <w:r w:rsidRPr="0006380A">
        <w:rPr>
          <w:i/>
        </w:rPr>
        <w:t xml:space="preserve">American journal of respiratory and critical care medicine, </w:t>
      </w:r>
      <w:r w:rsidRPr="0006380A">
        <w:t>vol. 156, pp. 814-818, 1997.</w:t>
      </w:r>
    </w:p>
    <w:p w14:paraId="76740B10" w14:textId="77777777" w:rsidR="0006380A" w:rsidRPr="0006380A" w:rsidRDefault="0006380A" w:rsidP="008E1460">
      <w:pPr>
        <w:pStyle w:val="EndNoteBibliography"/>
        <w:ind w:left="360" w:hanging="360"/>
      </w:pPr>
      <w:r w:rsidRPr="0006380A">
        <w:t>[6]</w:t>
      </w:r>
      <w:r w:rsidRPr="0006380A">
        <w:tab/>
        <w:t>C. Gordon, "Australian Bureau of Statistics, Multiple cause of death analysis. Publication 3319.0. 55.001," ed, 2003.</w:t>
      </w:r>
    </w:p>
    <w:p w14:paraId="5CD95953" w14:textId="77777777" w:rsidR="0006380A" w:rsidRPr="0006380A" w:rsidRDefault="0006380A" w:rsidP="008E1460">
      <w:pPr>
        <w:pStyle w:val="EndNoteBibliography"/>
        <w:ind w:left="360" w:hanging="360"/>
      </w:pPr>
      <w:r w:rsidRPr="0006380A">
        <w:t>[7]</w:t>
      </w:r>
      <w:r w:rsidRPr="0006380A">
        <w:tab/>
        <w:t xml:space="preserve">S. Bah and M. M. Rahman, "Measures of multiple-cause mortality: a synthesis and a notational framework," </w:t>
      </w:r>
      <w:r w:rsidRPr="0006380A">
        <w:rPr>
          <w:i/>
        </w:rPr>
        <w:t xml:space="preserve">Genus, </w:t>
      </w:r>
      <w:r w:rsidRPr="0006380A">
        <w:t>vol. 65, pp. 29-43, 2009.</w:t>
      </w:r>
    </w:p>
    <w:p w14:paraId="1944B061" w14:textId="77777777" w:rsidR="0006380A" w:rsidRPr="0006380A" w:rsidRDefault="0006380A" w:rsidP="008E1460">
      <w:pPr>
        <w:pStyle w:val="EndNoteBibliography"/>
        <w:ind w:left="360" w:hanging="360"/>
      </w:pPr>
      <w:r w:rsidRPr="0006380A">
        <w:t>[8]</w:t>
      </w:r>
      <w:r w:rsidRPr="0006380A">
        <w:tab/>
        <w:t xml:space="preserve">W. H. Organization, </w:t>
      </w:r>
      <w:r w:rsidRPr="0006380A">
        <w:rPr>
          <w:i/>
        </w:rPr>
        <w:t>International statistical classification of diseases and related health problems</w:t>
      </w:r>
      <w:r w:rsidRPr="0006380A">
        <w:t xml:space="preserve"> vol. 1: World Health Organization, 2004.</w:t>
      </w:r>
    </w:p>
    <w:p w14:paraId="7B2F29F0" w14:textId="77777777" w:rsidR="0006380A" w:rsidRPr="0006380A" w:rsidRDefault="0006380A" w:rsidP="008E1460">
      <w:pPr>
        <w:pStyle w:val="EndNoteBibliography"/>
        <w:ind w:left="360" w:hanging="360"/>
      </w:pPr>
      <w:r w:rsidRPr="0006380A">
        <w:t>[9]</w:t>
      </w:r>
      <w:r w:rsidRPr="0006380A">
        <w:tab/>
        <w:t xml:space="preserve">R. A. Israel, H. M. Rosenberg, and L. R. Curtin, "Analytical potential for multiple cause-of-death data," </w:t>
      </w:r>
      <w:r w:rsidRPr="0006380A">
        <w:rPr>
          <w:i/>
        </w:rPr>
        <w:t xml:space="preserve">American journal of epidemiology, </w:t>
      </w:r>
      <w:r w:rsidRPr="0006380A">
        <w:t>vol. 124, pp. 161-81, 1986.</w:t>
      </w:r>
    </w:p>
    <w:p w14:paraId="5B68DEF0" w14:textId="77777777" w:rsidR="0006380A" w:rsidRPr="0006380A" w:rsidRDefault="0006380A" w:rsidP="008E1460">
      <w:pPr>
        <w:pStyle w:val="EndNoteBibliography"/>
        <w:ind w:left="360" w:hanging="360"/>
      </w:pPr>
      <w:r w:rsidRPr="0006380A">
        <w:t>[10]</w:t>
      </w:r>
      <w:r w:rsidRPr="0006380A">
        <w:tab/>
        <w:t xml:space="preserve">P. F. Brown, P. V. Desouza, R. L. Mercer, V. J. D. Pietra, and J. C. Lai, "Class-based n-gram models of natural language," </w:t>
      </w:r>
      <w:r w:rsidRPr="0006380A">
        <w:rPr>
          <w:i/>
        </w:rPr>
        <w:t xml:space="preserve">Computational linguistics, </w:t>
      </w:r>
      <w:r w:rsidRPr="0006380A">
        <w:t>vol. 18, pp. 467-479, 1992.</w:t>
      </w:r>
    </w:p>
    <w:p w14:paraId="613D75AD" w14:textId="77777777" w:rsidR="0006380A" w:rsidRPr="0006380A" w:rsidRDefault="0006380A" w:rsidP="008E1460">
      <w:pPr>
        <w:pStyle w:val="EndNoteBibliography"/>
        <w:ind w:left="360" w:hanging="360"/>
      </w:pPr>
      <w:r w:rsidRPr="0006380A">
        <w:t>[11]</w:t>
      </w:r>
      <w:r w:rsidRPr="0006380A">
        <w:tab/>
        <w:t xml:space="preserve">A. Pak and P. Paroubek, "Twitter as a Corpus for Sentiment Analysis and Opinion Mining," in </w:t>
      </w:r>
      <w:r w:rsidRPr="0006380A">
        <w:rPr>
          <w:i/>
        </w:rPr>
        <w:t>LREc</w:t>
      </w:r>
      <w:r w:rsidRPr="0006380A">
        <w:t>, 2010.</w:t>
      </w:r>
    </w:p>
    <w:p w14:paraId="0DD85B8C" w14:textId="77777777" w:rsidR="0006380A" w:rsidRPr="0006380A" w:rsidRDefault="0006380A" w:rsidP="008E1460">
      <w:pPr>
        <w:pStyle w:val="EndNoteBibliography"/>
        <w:ind w:left="360" w:hanging="360"/>
      </w:pPr>
      <w:r w:rsidRPr="0006380A">
        <w:t>[12]</w:t>
      </w:r>
      <w:r w:rsidRPr="0006380A">
        <w:tab/>
        <w:t xml:space="preserve">B. J. Marafino, J. M. Davies, N. S. Bardach, M. L. Dean, R. A. Dudley, and J. Boscardin, "N-gram support vector machines for scalable procedure and diagnosis classification, with applications to clinical free text data from the intensive care unit," </w:t>
      </w:r>
      <w:r w:rsidRPr="0006380A">
        <w:rPr>
          <w:i/>
        </w:rPr>
        <w:t xml:space="preserve">Journal of the American Medical Informatics Association, </w:t>
      </w:r>
      <w:r w:rsidRPr="0006380A">
        <w:t>vol. 21, pp. 871-875, 2014.</w:t>
      </w:r>
    </w:p>
    <w:p w14:paraId="403CBA57" w14:textId="77777777" w:rsidR="0006380A" w:rsidRPr="0006380A" w:rsidRDefault="0006380A" w:rsidP="008E1460">
      <w:pPr>
        <w:pStyle w:val="EndNoteBibliography"/>
        <w:ind w:left="360" w:hanging="360"/>
      </w:pPr>
      <w:r w:rsidRPr="0006380A">
        <w:t>[13]</w:t>
      </w:r>
      <w:r w:rsidRPr="0006380A">
        <w:tab/>
        <w:t xml:space="preserve">V. Kešelj, F. Peng, N. Cercone, and C. Thomas, "N-gram-based author profiles for authorship attribution," in </w:t>
      </w:r>
      <w:r w:rsidRPr="0006380A">
        <w:rPr>
          <w:i/>
        </w:rPr>
        <w:t>Proceedings of the conference pacific association for computational linguistics, PACLING</w:t>
      </w:r>
      <w:r w:rsidRPr="0006380A">
        <w:t>, 2003, pp. 255-264.</w:t>
      </w:r>
    </w:p>
    <w:p w14:paraId="74C56316" w14:textId="77777777" w:rsidR="0006380A" w:rsidRPr="0006380A" w:rsidRDefault="0006380A" w:rsidP="008E1460">
      <w:pPr>
        <w:pStyle w:val="EndNoteBibliography"/>
        <w:ind w:left="360" w:hanging="360"/>
      </w:pPr>
      <w:r w:rsidRPr="0006380A">
        <w:t>[14]</w:t>
      </w:r>
      <w:r w:rsidRPr="0006380A">
        <w:tab/>
        <w:t xml:space="preserve">A. Tomović, P. Janičić, and V. Kešelj, "n-Gram-based classification and unsupervised hierarchical clustering of genome sequences," </w:t>
      </w:r>
      <w:r w:rsidRPr="0006380A">
        <w:rPr>
          <w:i/>
        </w:rPr>
        <w:t xml:space="preserve">Computer methods and programs in biomedicine, </w:t>
      </w:r>
      <w:r w:rsidRPr="0006380A">
        <w:t>vol. 81, pp. 137-153, 2006.</w:t>
      </w:r>
    </w:p>
    <w:p w14:paraId="537727C5" w14:textId="77777777" w:rsidR="0006380A" w:rsidRPr="0006380A" w:rsidRDefault="0006380A" w:rsidP="008E1460">
      <w:pPr>
        <w:pStyle w:val="EndNoteBibliography"/>
        <w:ind w:left="360" w:hanging="360"/>
      </w:pPr>
      <w:r w:rsidRPr="0006380A">
        <w:t>[15]</w:t>
      </w:r>
      <w:r w:rsidRPr="0006380A">
        <w:tab/>
        <w:t xml:space="preserve">B. Wajid and E. Serpedin, "Review of general algorithmic features for genome assemblers for next generation sequencers," </w:t>
      </w:r>
      <w:r w:rsidRPr="0006380A">
        <w:rPr>
          <w:i/>
        </w:rPr>
        <w:t xml:space="preserve">Genomics, proteomics &amp; bioinformatics, </w:t>
      </w:r>
      <w:r w:rsidRPr="0006380A">
        <w:t>vol. 10, pp. 58-73, 2012.</w:t>
      </w:r>
    </w:p>
    <w:p w14:paraId="1D3D963F" w14:textId="77777777" w:rsidR="0006380A" w:rsidRPr="0006380A" w:rsidRDefault="0006380A" w:rsidP="008E1460">
      <w:pPr>
        <w:pStyle w:val="EndNoteBibliography"/>
        <w:ind w:left="360" w:hanging="360"/>
      </w:pPr>
      <w:r w:rsidRPr="0006380A">
        <w:t>[16]</w:t>
      </w:r>
      <w:r w:rsidRPr="0006380A">
        <w:tab/>
        <w:t xml:space="preserve">J. Dean and S. Ghemawat, "MapReduce: simplified data processing on large clusters," </w:t>
      </w:r>
      <w:r w:rsidRPr="0006380A">
        <w:rPr>
          <w:i/>
        </w:rPr>
        <w:t xml:space="preserve">Communications of the ACM, </w:t>
      </w:r>
      <w:r w:rsidRPr="0006380A">
        <w:t>vol. 51, pp. 107-113, 2008.</w:t>
      </w:r>
    </w:p>
    <w:p w14:paraId="5EB9B505" w14:textId="77777777" w:rsidR="0006380A" w:rsidRPr="0006380A" w:rsidRDefault="0006380A" w:rsidP="008E1460">
      <w:pPr>
        <w:pStyle w:val="EndNoteBibliography"/>
        <w:ind w:left="360" w:hanging="360"/>
      </w:pPr>
      <w:r w:rsidRPr="0006380A">
        <w:t>[17]</w:t>
      </w:r>
      <w:r w:rsidRPr="0006380A">
        <w:tab/>
        <w:t xml:space="preserve">Y. Park and M. Kellis, "Deep learning for regulatory genomics," </w:t>
      </w:r>
      <w:r w:rsidRPr="0006380A">
        <w:rPr>
          <w:i/>
        </w:rPr>
        <w:t xml:space="preserve">Nat Biotechnol, </w:t>
      </w:r>
      <w:r w:rsidRPr="0006380A">
        <w:t>vol. 33, pp. 825-6, 2015.</w:t>
      </w:r>
    </w:p>
    <w:p w14:paraId="15625B42" w14:textId="77777777" w:rsidR="0006380A" w:rsidRPr="0006380A" w:rsidRDefault="0006380A" w:rsidP="008E1460">
      <w:pPr>
        <w:pStyle w:val="EndNoteBibliography"/>
        <w:ind w:left="360" w:hanging="360"/>
      </w:pPr>
      <w:r w:rsidRPr="0006380A">
        <w:t>[18]</w:t>
      </w:r>
      <w:r w:rsidRPr="0006380A">
        <w:tab/>
        <w:t>H. R. Hassanzadeh and M. D. Wang, "DeeperBind: Enhancing Prediction of Sequence Specificities of DNA Binding Proteins," presented at the Bioinformatics and Biomedicine (BIBM), 2016 IEEE International Conference on, 2016.</w:t>
      </w:r>
    </w:p>
    <w:p w14:paraId="7953AFAA" w14:textId="77777777" w:rsidR="0006380A" w:rsidRPr="0006380A" w:rsidRDefault="0006380A" w:rsidP="008E1460">
      <w:pPr>
        <w:pStyle w:val="EndNoteBibliography"/>
        <w:ind w:left="360" w:hanging="360"/>
      </w:pPr>
      <w:r w:rsidRPr="0006380A">
        <w:t>[19]</w:t>
      </w:r>
      <w:r w:rsidRPr="0006380A">
        <w:tab/>
        <w:t xml:space="preserve">B. Alipanahi, A. Delong, M. T. Weirauch, and B. J. Frey, "Predicting the sequence specificities of DNA-and RNA-binding proteins by deep learning," </w:t>
      </w:r>
      <w:r w:rsidRPr="0006380A">
        <w:rPr>
          <w:i/>
        </w:rPr>
        <w:t xml:space="preserve">Nature biotechnology, </w:t>
      </w:r>
      <w:r w:rsidRPr="0006380A">
        <w:t>vol. 33, pp. 831-838, 2015.</w:t>
      </w:r>
    </w:p>
    <w:p w14:paraId="1A8711E8" w14:textId="77777777" w:rsidR="0006380A" w:rsidRPr="0006380A" w:rsidRDefault="0006380A" w:rsidP="008E1460">
      <w:pPr>
        <w:pStyle w:val="EndNoteBibliography"/>
        <w:ind w:left="360" w:hanging="360"/>
      </w:pPr>
      <w:r w:rsidRPr="0006380A">
        <w:t>[20]</w:t>
      </w:r>
      <w:r w:rsidRPr="0006380A">
        <w:tab/>
        <w:t xml:space="preserve">S. Hochreiter and J. Schmidhuber, "Long short-term memory," </w:t>
      </w:r>
      <w:r w:rsidRPr="0006380A">
        <w:rPr>
          <w:i/>
        </w:rPr>
        <w:t xml:space="preserve">Neural computation, </w:t>
      </w:r>
      <w:r w:rsidRPr="0006380A">
        <w:t>vol. 9, pp. 1735-1780, 1997.</w:t>
      </w:r>
    </w:p>
    <w:p w14:paraId="4AC6C294" w14:textId="77777777" w:rsidR="0006380A" w:rsidRPr="0006380A" w:rsidRDefault="0006380A" w:rsidP="008E1460">
      <w:pPr>
        <w:pStyle w:val="EndNoteBibliography"/>
        <w:ind w:left="360" w:hanging="360"/>
      </w:pPr>
      <w:r w:rsidRPr="0006380A">
        <w:t>[21]</w:t>
      </w:r>
      <w:r w:rsidRPr="0006380A">
        <w:tab/>
        <w:t xml:space="preserve">L. v. d. Maaten and G. Hinton, "Visualizing data using t-SNE," </w:t>
      </w:r>
      <w:r w:rsidRPr="0006380A">
        <w:rPr>
          <w:i/>
        </w:rPr>
        <w:t xml:space="preserve">Journal of Machine Learning Research, </w:t>
      </w:r>
      <w:r w:rsidRPr="0006380A">
        <w:t>vol. 9, pp. 2579-2605, 2008.</w:t>
      </w:r>
    </w:p>
    <w:p w14:paraId="462384AD" w14:textId="475F8CAD" w:rsidR="00C2692F" w:rsidRPr="007A28F1" w:rsidRDefault="00DE7DE9" w:rsidP="008E1460">
      <w:pPr>
        <w:pStyle w:val="References"/>
        <w:numPr>
          <w:ilvl w:val="0"/>
          <w:numId w:val="0"/>
        </w:numPr>
        <w:ind w:left="360" w:hanging="360"/>
      </w:pPr>
      <w:r>
        <w:fldChar w:fldCharType="end"/>
      </w:r>
    </w:p>
    <w:sectPr w:rsidR="00C2692F" w:rsidRPr="007A28F1" w:rsidSect="0015028E">
      <w:headerReference w:type="default" r:id="rId14"/>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26099" w14:textId="77777777" w:rsidR="004C7E61" w:rsidRDefault="004C7E61">
      <w:r>
        <w:separator/>
      </w:r>
    </w:p>
  </w:endnote>
  <w:endnote w:type="continuationSeparator" w:id="0">
    <w:p w14:paraId="258ADC89" w14:textId="77777777" w:rsidR="004C7E61" w:rsidRDefault="004C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C763D" w14:textId="77777777" w:rsidR="004C7E61" w:rsidRDefault="004C7E61"/>
  </w:footnote>
  <w:footnote w:type="continuationSeparator" w:id="0">
    <w:p w14:paraId="63107F5E" w14:textId="77777777" w:rsidR="004C7E61" w:rsidRDefault="004C7E61">
      <w:r>
        <w:continuationSeparator/>
      </w:r>
    </w:p>
  </w:footnote>
  <w:footnote w:id="1">
    <w:p w14:paraId="4752DA84" w14:textId="77777777" w:rsidR="0006380A" w:rsidRDefault="0006380A"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14:paraId="5095D238" w14:textId="77777777" w:rsidR="0006380A" w:rsidRDefault="0006380A"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14:paraId="1EAE8723" w14:textId="77777777" w:rsidR="0006380A" w:rsidRDefault="0006380A"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14:paraId="2883068F" w14:textId="50365F86" w:rsidR="0006380A" w:rsidRDefault="0006380A" w:rsidP="001D0236">
      <w:pPr>
        <w:pStyle w:val="FootnoteText"/>
      </w:pPr>
      <w:r>
        <w:t>P.</w:t>
      </w:r>
      <w:r w:rsidRPr="005E7DD5">
        <w:t xml:space="preserve"> </w:t>
      </w:r>
      <w:r w:rsidR="004B2AD6">
        <w:t xml:space="preserve">A. </w:t>
      </w:r>
      <w:r>
        <w:t>B</w:t>
      </w:r>
      <w:r w:rsidR="004B2AD6">
        <w:t>raun</w:t>
      </w:r>
      <w:r>
        <w:t xml:space="preserve">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14:paraId="459F624F" w14:textId="77777777" w:rsidR="0006380A" w:rsidRDefault="0006380A"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FB23D" w14:textId="77777777" w:rsidR="0006380A" w:rsidRDefault="0006380A">
    <w:pPr>
      <w:framePr w:wrap="auto" w:vAnchor="text" w:hAnchor="margin" w:xAlign="right" w:y="1"/>
    </w:pPr>
  </w:p>
  <w:p w14:paraId="4FC5C226" w14:textId="77777777" w:rsidR="0006380A" w:rsidRDefault="0006380A"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E6EA639A"/>
    <w:lvl w:ilvl="0" w:tplc="2C8079B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vNaAPn3sCMs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zrtztzalt5rtneppryperrsa5ew2waa2zpd&quot;&gt;Paper&lt;record-ids&gt;&lt;item&gt;44&lt;/item&gt;&lt;/record-ids&gt;&lt;/item&gt;&lt;/Libraries&gt;"/>
  </w:docVars>
  <w:rsids>
    <w:rsidRoot w:val="00EA58F8"/>
    <w:rsid w:val="000066F1"/>
    <w:rsid w:val="0001157F"/>
    <w:rsid w:val="0006380A"/>
    <w:rsid w:val="00070A1B"/>
    <w:rsid w:val="00077A38"/>
    <w:rsid w:val="00083348"/>
    <w:rsid w:val="00095DB7"/>
    <w:rsid w:val="0009668C"/>
    <w:rsid w:val="000B33FC"/>
    <w:rsid w:val="000C4642"/>
    <w:rsid w:val="000F29FD"/>
    <w:rsid w:val="000F32D4"/>
    <w:rsid w:val="00103BB7"/>
    <w:rsid w:val="00131D00"/>
    <w:rsid w:val="00136D2B"/>
    <w:rsid w:val="00140EA2"/>
    <w:rsid w:val="0015028E"/>
    <w:rsid w:val="00150624"/>
    <w:rsid w:val="00150BA1"/>
    <w:rsid w:val="0017187C"/>
    <w:rsid w:val="00184CBD"/>
    <w:rsid w:val="001A13E6"/>
    <w:rsid w:val="001B04F0"/>
    <w:rsid w:val="001D0236"/>
    <w:rsid w:val="001F0C6F"/>
    <w:rsid w:val="002017C1"/>
    <w:rsid w:val="0024063A"/>
    <w:rsid w:val="002408F5"/>
    <w:rsid w:val="00270A8C"/>
    <w:rsid w:val="00277CBA"/>
    <w:rsid w:val="002A7B1D"/>
    <w:rsid w:val="002B1D2D"/>
    <w:rsid w:val="002E1C71"/>
    <w:rsid w:val="002E781C"/>
    <w:rsid w:val="00316BF5"/>
    <w:rsid w:val="00327E44"/>
    <w:rsid w:val="00354BC3"/>
    <w:rsid w:val="003848A0"/>
    <w:rsid w:val="0039397B"/>
    <w:rsid w:val="003967E8"/>
    <w:rsid w:val="003A5993"/>
    <w:rsid w:val="003D6FB4"/>
    <w:rsid w:val="003E4BB5"/>
    <w:rsid w:val="003E7634"/>
    <w:rsid w:val="00411BBD"/>
    <w:rsid w:val="004174DF"/>
    <w:rsid w:val="0042303C"/>
    <w:rsid w:val="00430366"/>
    <w:rsid w:val="00442D0D"/>
    <w:rsid w:val="00456B5C"/>
    <w:rsid w:val="004B00EA"/>
    <w:rsid w:val="004B2AD6"/>
    <w:rsid w:val="004B4919"/>
    <w:rsid w:val="004C0679"/>
    <w:rsid w:val="004C7E61"/>
    <w:rsid w:val="004E66FC"/>
    <w:rsid w:val="00541D30"/>
    <w:rsid w:val="0054509B"/>
    <w:rsid w:val="00546F2D"/>
    <w:rsid w:val="00566873"/>
    <w:rsid w:val="00566BCA"/>
    <w:rsid w:val="00581157"/>
    <w:rsid w:val="00587EBA"/>
    <w:rsid w:val="005A5A2F"/>
    <w:rsid w:val="005B52A1"/>
    <w:rsid w:val="005C14C0"/>
    <w:rsid w:val="00601FA1"/>
    <w:rsid w:val="006350B6"/>
    <w:rsid w:val="00667735"/>
    <w:rsid w:val="00692B96"/>
    <w:rsid w:val="006A58EE"/>
    <w:rsid w:val="006B7F35"/>
    <w:rsid w:val="006C5653"/>
    <w:rsid w:val="006E4421"/>
    <w:rsid w:val="0072340F"/>
    <w:rsid w:val="00726B25"/>
    <w:rsid w:val="00736BBF"/>
    <w:rsid w:val="0078326C"/>
    <w:rsid w:val="0079461D"/>
    <w:rsid w:val="007A207E"/>
    <w:rsid w:val="007A6891"/>
    <w:rsid w:val="007C48BD"/>
    <w:rsid w:val="007C713D"/>
    <w:rsid w:val="007F61BC"/>
    <w:rsid w:val="0080390D"/>
    <w:rsid w:val="0083029B"/>
    <w:rsid w:val="00866A33"/>
    <w:rsid w:val="00866F05"/>
    <w:rsid w:val="008A0045"/>
    <w:rsid w:val="008D7ABF"/>
    <w:rsid w:val="008E1460"/>
    <w:rsid w:val="008F08DE"/>
    <w:rsid w:val="008F3F95"/>
    <w:rsid w:val="009027E2"/>
    <w:rsid w:val="00925E1D"/>
    <w:rsid w:val="00926768"/>
    <w:rsid w:val="00927FF9"/>
    <w:rsid w:val="009378F6"/>
    <w:rsid w:val="00942CBC"/>
    <w:rsid w:val="00956643"/>
    <w:rsid w:val="009570C0"/>
    <w:rsid w:val="00963154"/>
    <w:rsid w:val="0098250C"/>
    <w:rsid w:val="00983A75"/>
    <w:rsid w:val="0099661B"/>
    <w:rsid w:val="009A3B17"/>
    <w:rsid w:val="009B46A1"/>
    <w:rsid w:val="009D197E"/>
    <w:rsid w:val="00A150E3"/>
    <w:rsid w:val="00A23657"/>
    <w:rsid w:val="00A35672"/>
    <w:rsid w:val="00A379E4"/>
    <w:rsid w:val="00A45922"/>
    <w:rsid w:val="00A54191"/>
    <w:rsid w:val="00A75B66"/>
    <w:rsid w:val="00A94354"/>
    <w:rsid w:val="00AA18B9"/>
    <w:rsid w:val="00AB3245"/>
    <w:rsid w:val="00AB45A9"/>
    <w:rsid w:val="00AC4673"/>
    <w:rsid w:val="00AC7CDC"/>
    <w:rsid w:val="00B1450A"/>
    <w:rsid w:val="00B17CC9"/>
    <w:rsid w:val="00B63EE3"/>
    <w:rsid w:val="00B67B4E"/>
    <w:rsid w:val="00B70DD8"/>
    <w:rsid w:val="00B75E06"/>
    <w:rsid w:val="00BF5CD1"/>
    <w:rsid w:val="00C2692F"/>
    <w:rsid w:val="00C578F8"/>
    <w:rsid w:val="00C83EC6"/>
    <w:rsid w:val="00C92278"/>
    <w:rsid w:val="00CC4057"/>
    <w:rsid w:val="00D01553"/>
    <w:rsid w:val="00D11CC1"/>
    <w:rsid w:val="00D373BD"/>
    <w:rsid w:val="00D5304F"/>
    <w:rsid w:val="00D90EAB"/>
    <w:rsid w:val="00DA4866"/>
    <w:rsid w:val="00DB5472"/>
    <w:rsid w:val="00DE7DE9"/>
    <w:rsid w:val="00E10036"/>
    <w:rsid w:val="00E5442C"/>
    <w:rsid w:val="00E57460"/>
    <w:rsid w:val="00E70141"/>
    <w:rsid w:val="00E91A13"/>
    <w:rsid w:val="00EA58F8"/>
    <w:rsid w:val="00EA67E4"/>
    <w:rsid w:val="00EC0C6A"/>
    <w:rsid w:val="00EC5A50"/>
    <w:rsid w:val="00EE7FED"/>
    <w:rsid w:val="00F016FD"/>
    <w:rsid w:val="00F01750"/>
    <w:rsid w:val="00F415B1"/>
    <w:rsid w:val="00F511D3"/>
    <w:rsid w:val="00F71126"/>
    <w:rsid w:val="00F76A64"/>
    <w:rsid w:val="00F852C6"/>
    <w:rsid w:val="00F975FF"/>
    <w:rsid w:val="00FA2851"/>
    <w:rsid w:val="00FB7D45"/>
    <w:rsid w:val="00FC7159"/>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3C78"/>
  <w15:docId w15:val="{DE4C2577-5172-4A3C-AF8E-E3D444816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新細明體"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新細明體"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新細明體"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 w:type="paragraph" w:styleId="BalloonText">
    <w:name w:val="Balloon Text"/>
    <w:basedOn w:val="Normal"/>
    <w:link w:val="BalloonTextChar"/>
    <w:semiHidden/>
    <w:unhideWhenUsed/>
    <w:rsid w:val="0024063A"/>
    <w:rPr>
      <w:rFonts w:ascii="Segoe UI" w:hAnsi="Segoe UI" w:cs="Segoe UI"/>
      <w:sz w:val="18"/>
      <w:szCs w:val="18"/>
    </w:rPr>
  </w:style>
  <w:style w:type="character" w:customStyle="1" w:styleId="BalloonTextChar">
    <w:name w:val="Balloon Text Char"/>
    <w:basedOn w:val="DefaultParagraphFont"/>
    <w:link w:val="BalloonText"/>
    <w:semiHidden/>
    <w:rsid w:val="0024063A"/>
    <w:rPr>
      <w:rFonts w:ascii="Segoe UI" w:hAnsi="Segoe UI" w:cs="Segoe UI"/>
      <w:sz w:val="18"/>
      <w:szCs w:val="18"/>
    </w:rPr>
  </w:style>
  <w:style w:type="character" w:styleId="CommentReference">
    <w:name w:val="annotation reference"/>
    <w:basedOn w:val="DefaultParagraphFont"/>
    <w:semiHidden/>
    <w:unhideWhenUsed/>
    <w:rsid w:val="00B70DD8"/>
    <w:rPr>
      <w:sz w:val="16"/>
      <w:szCs w:val="16"/>
    </w:rPr>
  </w:style>
  <w:style w:type="paragraph" w:styleId="CommentText">
    <w:name w:val="annotation text"/>
    <w:basedOn w:val="Normal"/>
    <w:link w:val="CommentTextChar"/>
    <w:semiHidden/>
    <w:unhideWhenUsed/>
    <w:rsid w:val="00B70DD8"/>
  </w:style>
  <w:style w:type="character" w:customStyle="1" w:styleId="CommentTextChar">
    <w:name w:val="Comment Text Char"/>
    <w:basedOn w:val="DefaultParagraphFont"/>
    <w:link w:val="CommentText"/>
    <w:semiHidden/>
    <w:rsid w:val="00B70DD8"/>
  </w:style>
  <w:style w:type="paragraph" w:styleId="CommentSubject">
    <w:name w:val="annotation subject"/>
    <w:basedOn w:val="CommentText"/>
    <w:next w:val="CommentText"/>
    <w:link w:val="CommentSubjectChar"/>
    <w:semiHidden/>
    <w:unhideWhenUsed/>
    <w:rsid w:val="00B70DD8"/>
    <w:rPr>
      <w:b/>
      <w:bCs/>
    </w:rPr>
  </w:style>
  <w:style w:type="character" w:customStyle="1" w:styleId="CommentSubjectChar">
    <w:name w:val="Comment Subject Char"/>
    <w:basedOn w:val="CommentTextChar"/>
    <w:link w:val="CommentSubject"/>
    <w:semiHidden/>
    <w:rsid w:val="00B70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902FA-981A-4158-B23A-E9B519463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11</TotalTime>
  <Pages>4</Pages>
  <Words>4905</Words>
  <Characters>27961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keywords/>
  <dc:description/>
  <cp:lastModifiedBy>Hassanzadeh, Hamid Reza</cp:lastModifiedBy>
  <cp:revision>6</cp:revision>
  <cp:lastPrinted>2017-02-19T16:58:00Z</cp:lastPrinted>
  <dcterms:created xsi:type="dcterms:W3CDTF">2017-02-20T18:04:00Z</dcterms:created>
  <dcterms:modified xsi:type="dcterms:W3CDTF">2017-02-20T18:11:00Z</dcterms:modified>
</cp:coreProperties>
</file>