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Burns, Centers for the Disease Control (CDC), and </w:t>
      </w:r>
      <w:r w:rsidRPr="00EA623D">
        <w:t>May D. Wang</w:t>
      </w:r>
      <w:r>
        <w:t xml:space="preserve">, </w:t>
      </w:r>
      <w:r>
        <w:rPr>
          <w:rStyle w:val="MemberType"/>
        </w:rPr>
        <w:t>Senior Member, IEEE</w:t>
      </w:r>
    </w:p>
    <w:p w:rsidR="00C2692F" w:rsidRDefault="00C2692F" w:rsidP="000B33FC">
      <w:pPr>
        <w:pStyle w:val="Abstract"/>
        <w:spacing w:before="0"/>
      </w:pPr>
      <w:r>
        <w:rPr>
          <w:i/>
          <w:iCs/>
        </w:rPr>
        <w:t>Abstract</w:t>
      </w:r>
      <w:r>
        <w:t>—</w:t>
      </w:r>
      <w:r w:rsidRPr="00B32A40">
        <w:t xml:space="preserve"> </w:t>
      </w:r>
      <w:r w:rsidR="00F01750">
        <w:t xml:space="preserve">Multiple cause of death data provides a valuable source of information that can be used </w:t>
      </w:r>
      <w:r w:rsidR="00F01750">
        <w:t>to enhance health standards by pre</w:t>
      </w:r>
      <w:r w:rsidR="00546F2D">
        <w:t>dicting health related trajectories of large populations of a society.</w:t>
      </w:r>
      <w:r w:rsidR="00F01750">
        <w:t xml:space="preserve">  </w:t>
      </w:r>
      <w:r w:rsidR="00926768">
        <w:t>We propose a deep pipeline that can learn the temporal and non-temporal aspects of the</w:t>
      </w:r>
      <w:r w:rsidR="00F016FD">
        <w:t xml:space="preserve"> multiple-cause mortality data</w:t>
      </w:r>
      <w:r w:rsidR="000B33FC">
        <w:t xml:space="preserve">. We apply our model to mortality data provided by the national center for health statistics and compare our results to the multiple classical models that are based on N-gram features and show that our proposed pipeline outperforms the proposed baselines </w:t>
      </w:r>
      <w:r w:rsidR="00F016FD">
        <w:t xml:space="preserve">without a </w:t>
      </w:r>
      <w:r w:rsidR="000B33FC">
        <w:t xml:space="preserve">need for </w:t>
      </w:r>
      <w:r w:rsidR="00F016FD">
        <w:t>enforcing ad-hoc expert driven rules.</w:t>
      </w:r>
      <w:r w:rsidR="00277CBA">
        <w:t xml:space="preserve"> </w:t>
      </w:r>
      <w:r w:rsidR="00077A38">
        <w:tab/>
      </w:r>
    </w:p>
    <w:p w:rsidR="00C2692F" w:rsidRDefault="00C2692F" w:rsidP="00C2692F">
      <w:pPr>
        <w:pStyle w:val="Heading1"/>
        <w:spacing w:before="120" w:after="120"/>
      </w:pPr>
      <w:r>
        <w:t>I</w:t>
      </w:r>
      <w:r>
        <w:rPr>
          <w:sz w:val="16"/>
          <w:szCs w:val="16"/>
        </w:rPr>
        <w:t>NTRODUCTION</w:t>
      </w:r>
    </w:p>
    <w:p w:rsidR="001D0236" w:rsidRDefault="001D0236" w:rsidP="0054509B">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 for researcher</w:t>
      </w:r>
      <w:r w:rsidR="00077A38">
        <w:t>s</w:t>
      </w:r>
      <w:r>
        <w:t xml:space="preserve"> that remains to be extensively explored</w:t>
      </w:r>
      <w:r w:rsidR="00077A38">
        <w:t>,</w:t>
      </w:r>
      <w:r>
        <w:t xml:space="preserve"> is whether </w:t>
      </w:r>
      <w:r w:rsidR="00077A38">
        <w:t>B</w:t>
      </w:r>
      <w:r>
        <w:t xml:space="preserve">ig </w:t>
      </w:r>
      <w:r w:rsidR="00077A38">
        <w:t>D</w:t>
      </w:r>
      <w:r>
        <w:t xml:space="preserve">ata science can contribute to our understanding of factors leading to death or diseases </w:t>
      </w:r>
      <w:r w:rsidR="00077A38">
        <w:tab/>
      </w:r>
      <w:r>
        <w:t xml:space="preserve">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 xml:space="preserve">here has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the feasibility of </w:t>
      </w:r>
      <w:r>
        <w:t xml:space="preserve">big data science, and deep learning in particular, </w:t>
      </w:r>
      <w:r w:rsidR="0054509B">
        <w:t xml:space="preserve">in </w:t>
      </w:r>
      <w:r>
        <w:t xml:space="preserve">learning hidden complex patterns available in the haystack of mortality datasets. </w:t>
      </w:r>
    </w:p>
    <w:p w:rsidR="001D0236" w:rsidRPr="00630718" w:rsidRDefault="001D0236" w:rsidP="00FA2851">
      <w:pPr>
        <w:pStyle w:val="BodyText"/>
      </w:pPr>
      <w:r>
        <w:t>Multi</w:t>
      </w:r>
      <w:r w:rsidR="00FA2851">
        <w:t>ple cause of death data provide</w:t>
      </w:r>
      <w:r>
        <w:t xml:space="preserve"> a valuable source of information that can be 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disease diffusion for controlling plague and other epidemics, to provide better understanding of multi-morbid associations between conditions leading to death, and to identify prob</w:t>
      </w:r>
      <w:r w:rsidR="00FA2851">
        <w:t>lems with the process of coding/</w:t>
      </w:r>
      <w:r>
        <w:t xml:space="preserve">recording cause of death information </w:t>
      </w:r>
      <w:bookmarkStart w:id="0" w:name="_GoBack"/>
      <w:bookmarkEnd w:id="0"/>
      <w:r>
        <w:fldChar w:fldCharType="begin"/>
      </w:r>
      <w:r>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fldChar w:fldCharType="separate"/>
      </w:r>
      <w:r>
        <w:rPr>
          <w:noProof/>
        </w:rPr>
        <w:t>[6]</w:t>
      </w:r>
      <w:r>
        <w:fldChar w:fldCharType="end"/>
      </w:r>
      <w:r>
        <w:t>. As such, designing advanced analytics pipelines for discovering descriptive statistics and trajectories is highly [</w:t>
      </w:r>
      <w:r w:rsidRPr="00292756">
        <w:rPr>
          <w:color w:val="FF0000"/>
        </w:rPr>
        <w:t>some verb!</w:t>
      </w:r>
      <w:r>
        <w:t>]. The sheer amount of available data from recorded death certificate data, makes them suitable for big-data analysis techniques but at the same time pose some key challenges. In particular, the mortality multiple-</w:t>
      </w:r>
      <w:proofErr w:type="gramStart"/>
      <w:r>
        <w:t>cause</w:t>
      </w:r>
      <w:proofErr w:type="gramEnd"/>
      <w:r>
        <w:t xml:space="preserve"> data is unstructured and can be inaccurate due to several reasons [</w:t>
      </w:r>
      <w:r>
        <w:rPr>
          <w:color w:val="FF0000"/>
        </w:rPr>
        <w:t>a good reference that describes the reasons for inaccurate entries</w:t>
      </w:r>
      <w:r>
        <w:t>]. Moreover, the high number of ICD-9/10 mortality codes make analysis of multiple-cause associations even more challenging. This altogether, calls for advanced techniques for mining in large datasets of unstructured, high dimensional, and noisy environment.</w:t>
      </w:r>
    </w:p>
    <w:p w:rsidR="001D0236" w:rsidRDefault="001D0236" w:rsidP="001D0236">
      <w:pPr>
        <w:pStyle w:val="BodyText"/>
      </w:pPr>
      <w:r>
        <w:t xml:space="preserve">Despite the importance of the subject, only a handful of researches have so far conducted studies in which the sought to relate multiple causes of death to other factors. These studies are often restricted to classical statistical methods that can be put into four 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1D0236">
      <w:pPr>
        <w:pStyle w:val="BodyText"/>
      </w:pPr>
      <w:r>
        <w:t xml:space="preserve">In this study, we present an exploratory analysis that is well positioned in a fifth group, by building upon both the third and the fourth categories above, and utilizing advanced machine learning approaches. Specifically, we propose two different categories models, namely, shallow learners to learn mono/bi-gram features derived from the multiple-cause data which we trained over Hadoop using the MapReduce programming model as well as a deep recurrent neural network that learns the dynamics of the morbidity chains efficiently. 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 learning. Next, in section III, we compare and contrast the aforementioned models through different experiments and show that our deep model can model the data more efficiently </w:t>
      </w:r>
      <w:r>
        <w:lastRenderedPageBreak/>
        <w:t>and finally in section IV, we conclude the paper and shed light on future directions we would like to pursue.</w:t>
      </w:r>
    </w:p>
    <w:p w:rsidR="001D0236" w:rsidRDefault="001D0236" w:rsidP="001D0236">
      <w:pPr>
        <w:pStyle w:val="BodyText"/>
      </w:pPr>
    </w:p>
    <w:p w:rsidR="00C2692F" w:rsidRDefault="001D0236" w:rsidP="00C2692F">
      <w:pPr>
        <w:pStyle w:val="Heading1"/>
        <w:spacing w:before="120" w:after="120"/>
      </w:pPr>
      <w:r>
        <w:t>Materials and Methods</w:t>
      </w:r>
    </w:p>
    <w:p w:rsidR="001D0236" w:rsidRDefault="001D0236" w:rsidP="001D0236">
      <w:pPr>
        <w:pStyle w:val="Heading2"/>
        <w:keepLines/>
        <w:tabs>
          <w:tab w:val="num" w:pos="360"/>
        </w:tabs>
        <w:autoSpaceDE/>
        <w:autoSpaceDN/>
        <w:ind w:left="288" w:hanging="288"/>
      </w:pPr>
      <w:r>
        <w:t>Data source</w:t>
      </w:r>
    </w:p>
    <w:p w:rsidR="001D0236" w:rsidRDefault="001D0236" w:rsidP="001D0236">
      <w:pPr>
        <w:pStyle w:val="BodyText"/>
      </w:pPr>
      <w:r>
        <w:t>We used mortality data published by the United States National Center for Health Statistics (NCHS) [</w:t>
      </w:r>
      <w:r w:rsidRPr="001C24E1">
        <w:rPr>
          <w:color w:val="FF0000"/>
        </w:rPr>
        <w:t>put a reference</w:t>
      </w:r>
      <w:r>
        <w:t xml:space="preserve">] which is available to public. Specifically, we used the 2015 reported </w:t>
      </w:r>
    </w:p>
    <w:p w:rsidR="001D0236" w:rsidRDefault="00070A1B" w:rsidP="001D0236">
      <w:pPr>
        <w:jc w:val="both"/>
      </w:pPr>
      <w:r>
        <w:rPr>
          <w:noProof/>
        </w:rPr>
        <mc:AlternateContent>
          <mc:Choice Requires="wps">
            <w:drawing>
              <wp:anchor distT="0" distB="0" distL="114300" distR="114300" simplePos="0" relativeHeight="251651584" behindDoc="1" locked="0" layoutInCell="1" allowOverlap="1" wp14:anchorId="0FADDBCB" wp14:editId="1BD5AB14">
                <wp:simplePos x="0" y="0"/>
                <wp:positionH relativeFrom="margin">
                  <wp:posOffset>3441690</wp:posOffset>
                </wp:positionH>
                <wp:positionV relativeFrom="paragraph">
                  <wp:posOffset>1361848</wp:posOffset>
                </wp:positionV>
                <wp:extent cx="2838450" cy="2122170"/>
                <wp:effectExtent l="0" t="0" r="19050" b="11430"/>
                <wp:wrapTight wrapText="bothSides">
                  <wp:wrapPolygon edited="0">
                    <wp:start x="0" y="0"/>
                    <wp:lineTo x="0" y="21522"/>
                    <wp:lineTo x="21600" y="21522"/>
                    <wp:lineTo x="21600"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12217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1" w:name="_Ref474952981"/>
                            <w:bookmarkStart w:id="2" w:name="_Ref474952889"/>
                            <w:r>
                              <w:t xml:space="preserve">Figure </w:t>
                            </w:r>
                            <w:r>
                              <w:fldChar w:fldCharType="begin"/>
                            </w:r>
                            <w:r>
                              <w:instrText xml:space="preserve"> SEQ Figure \* ARABIC </w:instrText>
                            </w:r>
                            <w:r>
                              <w:fldChar w:fldCharType="separate"/>
                            </w:r>
                            <w:r>
                              <w:t>2</w:t>
                            </w:r>
                            <w:r>
                              <w:fldChar w:fldCharType="end"/>
                            </w:r>
                            <w:bookmarkEnd w:id="1"/>
                            <w:r>
                              <w:t xml:space="preserve">: </w:t>
                            </w:r>
                            <w:r w:rsidRPr="00450DA5">
                              <w:t xml:space="preserve"> Internal Design of an LSTM Module</w:t>
                            </w:r>
                            <w:bookmarkEnd w:id="2"/>
                          </w:p>
                          <w:p w:rsidR="001D0236" w:rsidRDefault="001D0236" w:rsidP="004174DF">
                            <w:pPr>
                              <w:pStyle w:val="figurecaption"/>
                              <w:keepNext/>
                              <w:numPr>
                                <w:ilvl w:val="0"/>
                                <w:numId w:val="0"/>
                              </w:numPr>
                            </w:pPr>
                            <w: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DDBCB" id="_x0000_t202" coordsize="21600,21600" o:spt="202" path="m,l,21600r21600,l21600,xe">
                <v:stroke joinstyle="miter"/>
                <v:path gradientshapeok="t" o:connecttype="rect"/>
              </v:shapetype>
              <v:shape id="Text Box 8" o:spid="_x0000_s1026" type="#_x0000_t202" style="position:absolute;left:0;text-align:left;margin-left:271pt;margin-top:107.25pt;width:223.5pt;height:167.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">
                <v:textbox>
                  <w:txbxContent>
                    <w:p w:rsidR="001D0236" w:rsidRDefault="001D0236" w:rsidP="001D0236">
                      <w:pPr>
                        <w:pStyle w:val="figurecaption"/>
                      </w:pPr>
                      <w:bookmarkStart w:id="2" w:name="_Ref474952981"/>
                      <w:bookmarkStart w:id="3" w:name="_Ref474952889"/>
                      <w:r>
                        <w:t xml:space="preserve">Figure </w:t>
                      </w:r>
                      <w:r>
                        <w:fldChar w:fldCharType="begin"/>
                      </w:r>
                      <w:r>
                        <w:instrText xml:space="preserve"> SEQ Figure \* ARABIC </w:instrText>
                      </w:r>
                      <w:r>
                        <w:fldChar w:fldCharType="separate"/>
                      </w:r>
                      <w:r>
                        <w:t>2</w:t>
                      </w:r>
                      <w:r>
                        <w:fldChar w:fldCharType="end"/>
                      </w:r>
                      <w:bookmarkEnd w:id="2"/>
                      <w:r>
                        <w:t xml:space="preserve">: </w:t>
                      </w:r>
                      <w:r w:rsidRPr="00450DA5">
                        <w:t xml:space="preserve"> Internal Design of an LSTM Module</w:t>
                      </w:r>
                      <w:bookmarkEnd w:id="3"/>
                    </w:p>
                    <w:p w:rsidR="001D0236" w:rsidRDefault="001D0236" w:rsidP="004174DF">
                      <w:pPr>
                        <w:pStyle w:val="figurecaption"/>
                        <w:keepNext/>
                        <w:numPr>
                          <w:ilvl w:val="0"/>
                          <w:numId w:val="0"/>
                        </w:numPr>
                      </w:pPr>
                      <w:r>
                        <w:rPr>
                          <w:lang w:eastAsia="zh-TW"/>
                        </w:rP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v:textbox>
                <w10:wrap type="tight" anchorx="margin"/>
              </v:shape>
            </w:pict>
          </mc:Fallback>
        </mc:AlternateContent>
      </w:r>
      <w:r w:rsidR="004174DF">
        <w:rPr>
          <w:noProof/>
        </w:rPr>
        <mc:AlternateContent>
          <mc:Choice Requires="wps">
            <w:drawing>
              <wp:anchor distT="45720" distB="45720" distL="114300" distR="114300" simplePos="0" relativeHeight="251666944" behindDoc="0" locked="0" layoutInCell="1" allowOverlap="1" wp14:anchorId="4156CA70" wp14:editId="39A0EF40">
                <wp:simplePos x="0" y="0"/>
                <wp:positionH relativeFrom="column">
                  <wp:posOffset>-3810</wp:posOffset>
                </wp:positionH>
                <wp:positionV relativeFrom="paragraph">
                  <wp:posOffset>2966085</wp:posOffset>
                </wp:positionV>
                <wp:extent cx="3083560" cy="1534795"/>
                <wp:effectExtent l="0" t="0" r="2159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1534795"/>
                        </a:xfrm>
                        <a:prstGeom prst="rect">
                          <a:avLst/>
                        </a:prstGeom>
                        <a:solidFill>
                          <a:srgbClr val="FFFFFF"/>
                        </a:solidFill>
                        <a:ln w="9525">
                          <a:solidFill>
                            <a:srgbClr val="000000"/>
                          </a:solidFill>
                          <a:miter lim="800000"/>
                          <a:headEnd/>
                          <a:tailEnd/>
                        </a:ln>
                      </wps:spPr>
                      <wps:txb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10">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6CA70" id="文本框 2" o:spid="_x0000_s1027" type="#_x0000_t202" style="position:absolute;left:0;text-align:left;margin-left:-.3pt;margin-top:233.55pt;width:242.8pt;height:120.8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">
                <v:textbo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lang w:eastAsia="zh-TW"/>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11">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v:textbox>
                <w10:wrap type="square"/>
              </v:shape>
            </w:pict>
          </mc:Fallback>
        </mc:AlternateContent>
      </w:r>
      <w:r w:rsidR="001D0236">
        <w:t xml:space="preserve">We briefly introduce the typical process of completing a death certificate here. Civil registration systems collects death information of individuals in the form of a death certificate, the standard format of which is designed by the World Health Organization (WHO) </w:t>
      </w:r>
      <w:r w:rsidR="001D0236">
        <w:fldChar w:fldCharType="begin"/>
      </w:r>
      <w:r w:rsidR="001D0236">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D0236">
        <w:fldChar w:fldCharType="separate"/>
      </w:r>
      <w:r w:rsidR="001D0236">
        <w:rPr>
          <w:noProof/>
        </w:rPr>
        <w:t>[8]</w:t>
      </w:r>
      <w:r w:rsidR="001D0236">
        <w:fldChar w:fldCharType="end"/>
      </w:r>
      <w:r w:rsidR="001D0236">
        <w:t xml:space="preserve">. The section that is of most interest to public health researchers is the cause-of-death section, which has to be completed by a medical certifier. An ideal person to complete a death certificate is the attending physician, who has most sufficient clinical expertise and judgement. However, if the manner of death is unnatural or unplanned, a medical examiner or a coroner can also fill in a death certificate. The cause-of-death section is divided into two parts (figure 1), where part I lists the causal chain of conditions directly leading to the death in reverse chronical order, and part II includes the conditions that contributes but not directly leads to death </w:t>
      </w:r>
      <w:r w:rsidR="001D0236">
        <w:fldChar w:fldCharType="begin"/>
      </w:r>
      <w:r w:rsidR="001D0236">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rsidR="001D0236">
        <w:fldChar w:fldCharType="separate"/>
      </w:r>
      <w:r w:rsidR="001D0236">
        <w:rPr>
          <w:noProof/>
        </w:rPr>
        <w:t>[9]</w:t>
      </w:r>
      <w:r w:rsidR="001D0236">
        <w:fldChar w:fldCharType="end"/>
      </w:r>
      <w:r w:rsidR="001D0236">
        <w:t>.</w:t>
      </w:r>
    </w:p>
    <w:p w:rsidR="001D0236" w:rsidRDefault="001D0236" w:rsidP="001D0236">
      <w:pPr>
        <w:pStyle w:val="BodyText"/>
      </w:pPr>
    </w:p>
    <w:p w:rsidR="001D0236" w:rsidRDefault="001D0236" w:rsidP="001D0236">
      <w:pPr>
        <w:pStyle w:val="BodyText"/>
      </w:pPr>
      <w:r>
        <w:t>One paragraph about the data and the filtering criteria.</w:t>
      </w:r>
    </w:p>
    <w:p w:rsidR="001D0236" w:rsidRDefault="001D0236" w:rsidP="001D0236">
      <w:pPr>
        <w:pStyle w:val="Heading2"/>
        <w:keepLines/>
        <w:tabs>
          <w:tab w:val="num" w:pos="360"/>
        </w:tabs>
        <w:autoSpaceDE/>
        <w:autoSpaceDN/>
        <w:ind w:left="288" w:hanging="288"/>
      </w:pPr>
      <w:r>
        <w:t>Using n-Gram Models to Learn [</w:t>
      </w:r>
      <w:r w:rsidRPr="00241979">
        <w:rPr>
          <w:color w:val="FF0000"/>
        </w:rPr>
        <w:t>Blah Blah</w:t>
      </w:r>
      <w:r>
        <w:t>]</w:t>
      </w:r>
    </w:p>
    <w:p w:rsidR="001D0236" w:rsidRDefault="001D0236" w:rsidP="001D0236">
      <w:pPr>
        <w:pStyle w:val="BodyText"/>
      </w:pPr>
      <w:r>
        <w:t xml:space="preserve">To construct our baseline models, we use the n-gram model to extract features from data. N-gram is a contiguous sequence of n tokens from text or sequential data </w:t>
      </w:r>
      <w:r>
        <w:fldChar w:fldCharType="begin"/>
      </w:r>
      <w:r>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fldChar w:fldCharType="separate"/>
      </w:r>
      <w:r>
        <w:rPr>
          <w:noProof/>
        </w:rPr>
        <w:t>[10]</w:t>
      </w:r>
      <w:r>
        <w:fldChar w:fldCharType="end"/>
      </w:r>
      <w:r>
        <w:t xml:space="preserve">, which has been widely applied in the area of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t>. The n of n-gram can be any positive integers, where we generate unigrams if we choose n to be one, and bigrams if we choose n to be two. Longer n-grams are able to encode more context information. Since the majority of conditions on death certificates follow sequential order, we can construct n-grams as features from death certificates.</w:t>
      </w:r>
    </w:p>
    <w:p w:rsidR="001D0236" w:rsidRPr="00061AFE" w:rsidRDefault="001D0236" w:rsidP="001D0236">
      <w:pPr>
        <w:pStyle w:val="BodyText"/>
      </w:pPr>
      <w:r>
        <w:rPr>
          <w:rFonts w:hint="eastAsia"/>
        </w:rPr>
        <w:t xml:space="preserve">The exact process of </w:t>
      </w:r>
      <w:r>
        <w:t>constructing n-gram features consists of two steps, selecting n-grams and vectorization. First we process all samples in our data, and generate a dictionary of n grams generated from data. We select the top K frequent n-grams as features and then represent the data by a M</w:t>
      </w:r>
      <m:oMath>
        <m:r>
          <m:rPr>
            <m:sty m:val="p"/>
          </m:rPr>
          <w:rPr>
            <w:rFonts w:ascii="Cambria Math" w:hAnsi="Cambria Math"/>
          </w:rPr>
          <m:t>×</m:t>
        </m:r>
      </m:oMath>
      <w:r>
        <w:t xml:space="preserve">K </w:t>
      </w:r>
      <w:r>
        <w:rPr>
          <w:rFonts w:hint="eastAsia"/>
        </w:rPr>
        <w:t>matrix, where M is the number of samples</w:t>
      </w:r>
      <w:r>
        <w:t xml:space="preserve">. Each row of the </w:t>
      </w:r>
      <w:r>
        <w:t xml:space="preserve">matrix denotes a sample death certificate characterized by the counts of chosen K n-grams. For our data, we prepare three sets of features. We construct the first set of features with all unigrams, the second set with top 5,000 bigrams, and the third set using the top 10,000 frequent unigrams and bigrams. After constructing the features, we will feed them into k nearest neighbors </w:t>
      </w:r>
      <w:r>
        <w:fldChar w:fldCharType="begin"/>
      </w:r>
      <w:r>
        <w:instrText xml:space="preserve"> ADDIN EN.CITE &lt;EndNote&gt;&lt;Cite&gt;&lt;Author&gt;Keller&lt;/Author&gt;&lt;Year&gt;1985&lt;/Year&gt;&lt;RecNum&gt;142&lt;/RecNum&gt;&lt;DisplayText&gt;[16]&lt;/DisplayText&gt;&lt;record&gt;&lt;rec-number&gt;142&lt;/rec-number&gt;&lt;foreign-keys&gt;&lt;key app="EN" db-id="p2aprr0w7p9e5je2xpqv0e5ra5w5sdead5tp" timestamp="1487034001"&gt;142&lt;/key&gt;&lt;/foreign-keys&gt;&lt;ref-type name="Journal Article"&gt;17&lt;/ref-type&gt;&lt;contributors&gt;&lt;authors&gt;&lt;author&gt;Keller, James M&lt;/author&gt;&lt;author&gt;Gray, Michael R&lt;/author&gt;&lt;author&gt;Givens, James A&lt;/author&gt;&lt;/authors&gt;&lt;/contributors&gt;&lt;titles&gt;&lt;title&gt;A fuzzy k-nearest neighbor algorithm&lt;/title&gt;&lt;secondary-title&gt;IEEE transactions on systems, man, and cybernetics&lt;/secondary-title&gt;&lt;/titles&gt;&lt;periodical&gt;&lt;full-title&gt;IEEE Transactions on Systems, Man, and Cybernetics&lt;/full-title&gt;&lt;/periodical&gt;&lt;pages&gt;580-585&lt;/pages&gt;&lt;number&gt;4&lt;/number&gt;&lt;dates&gt;&lt;year&gt;1985&lt;/year&gt;&lt;/dates&gt;&lt;isbn&gt;0018-9472&lt;/isbn&gt;&lt;urls&gt;&lt;/urls&gt;&lt;/record&gt;&lt;/Cite&gt;&lt;/EndNote&gt;</w:instrText>
      </w:r>
      <w:r>
        <w:fldChar w:fldCharType="separate"/>
      </w:r>
      <w:r>
        <w:rPr>
          <w:noProof/>
        </w:rPr>
        <w:t>[16]</w:t>
      </w:r>
      <w:r>
        <w:fldChar w:fldCharType="end"/>
      </w:r>
      <w:r>
        <w:t xml:space="preserve"> and random forests </w:t>
      </w:r>
      <w:r>
        <w:fldChar w:fldCharType="begin"/>
      </w:r>
      <w:r>
        <w:instrText xml:space="preserve"> ADDIN EN.CITE &lt;EndNote&gt;&lt;Cite&gt;&lt;Author&gt;Liaw&lt;/Author&gt;&lt;Year&gt;2002&lt;/Year&gt;&lt;RecNum&gt;141&lt;/RecNum&gt;&lt;DisplayText&gt;[17]&lt;/DisplayText&gt;&lt;record&gt;&lt;rec-number&gt;141&lt;/rec-number&gt;&lt;foreign-keys&gt;&lt;key app="EN" db-id="p2aprr0w7p9e5je2xpqv0e5ra5w5sdead5tp" timestamp="1487033940"&gt;141&lt;/key&gt;&lt;/foreign-keys&gt;&lt;ref-type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news&lt;/full-title&gt;&lt;/periodical&gt;&lt;pages&gt;18-22&lt;/pages&gt;&lt;volume&gt;2&lt;/volume&gt;&lt;number&gt;3&lt;/number&gt;&lt;dates&gt;&lt;year&gt;2002&lt;/year&gt;&lt;/dates&gt;&lt;urls&gt;&lt;/urls&gt;&lt;/record&gt;&lt;/Cite&gt;&lt;/EndNote&gt;</w:instrText>
      </w:r>
      <w:r>
        <w:fldChar w:fldCharType="separate"/>
      </w:r>
      <w:r>
        <w:rPr>
          <w:noProof/>
        </w:rPr>
        <w:t>[17]</w:t>
      </w:r>
      <w:r>
        <w:fldChar w:fldCharType="end"/>
      </w:r>
      <w:r>
        <w:t>.</w:t>
      </w:r>
    </w:p>
    <w:p w:rsidR="00070A1B" w:rsidRDefault="00070A1B" w:rsidP="001D0236">
      <w:pPr>
        <w:pStyle w:val="Heading2"/>
        <w:keepLines/>
        <w:autoSpaceDE/>
        <w:autoSpaceDN/>
      </w:pPr>
      <w:r>
        <w:t>Deep Recurrent Neural Networks</w:t>
      </w:r>
    </w:p>
    <w:p w:rsidR="00F71126" w:rsidRDefault="00F71126" w:rsidP="00F71126">
      <w:pPr>
        <w:pStyle w:val="BodyText"/>
      </w:pPr>
      <w:r w:rsidRPr="00E974F3">
        <w:t xml:space="preserve">Deep learning </w:t>
      </w:r>
      <w:r>
        <w:t xml:space="preserve">is an emerging analytics technology that is now being deployed in a wide range of domains including Biomedical areas </w: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 </w:instrTex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EN.CITE.DATA </w:instrText>
      </w:r>
      <w:r>
        <w:fldChar w:fldCharType="end"/>
      </w:r>
      <w:r>
        <w:fldChar w:fldCharType="separate"/>
      </w:r>
      <w:r>
        <w:rPr>
          <w:noProof/>
        </w:rPr>
        <w:t>[18-20]</w:t>
      </w:r>
      <w:r>
        <w:fldChar w:fldCharType="end"/>
      </w:r>
      <w:r>
        <w:t xml:space="preserve"> due </w:t>
      </w:r>
      <w:r w:rsidRPr="00E974F3">
        <w:t>its success in improving the previously recorded state-of-the-art performance measures</w:t>
      </w:r>
      <w:r>
        <w:t xml:space="preserve">. Deep learn is now becoming an indispensable part of any wining model in today’s complex computational challenges. Recurrent neural networks, and long short-term memory networks </w:t>
      </w:r>
      <w:r>
        <w:fldChar w:fldCharType="begin"/>
      </w:r>
      <w:r>
        <w:instrText xml:space="preserve"> ADDIN EN.CITE &lt;EndNote&gt;&lt;Cite&gt;&lt;Author&gt;Hochreiter&lt;/Author&gt;&lt;Year&gt;1997&lt;/Year&gt;&lt;RecNum&gt;14&lt;/RecNum&gt;&lt;DisplayText&gt;[21]&lt;/DisplayText&gt;&lt;record&gt;&lt;rec-number&gt;14&lt;/rec-number&gt;&lt;foreign-keys&gt;&lt;key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Pr>
          <w:noProof/>
        </w:rPr>
        <w:t>[21]</w:t>
      </w:r>
      <w:r>
        <w:fldChar w:fldCharType="end"/>
      </w:r>
      <w:r>
        <w:t xml:space="preserve">, in particular, are an important class of deep architectures that are able to capture the temporal dynamics sequential data and as such, they fit the task of learning the time ordered chain of morbidity events that eventually lead to death. These models have recently got a significant attention from the researchers due to more powerful hardware, such as graphics processing units (GPUs), due to their massively parallel architecture that makes learning on large sequential datasets (such as NCHS multiple-cause mortality data) feasible. </w:t>
      </w:r>
      <w:r>
        <w:fldChar w:fldCharType="begin"/>
      </w:r>
      <w:r>
        <w:instrText xml:space="preserve"> REF _Ref474952981 \h </w:instrText>
      </w:r>
      <w:r>
        <w:fldChar w:fldCharType="separate"/>
      </w:r>
      <w:r>
        <w:t xml:space="preserve">Figure </w:t>
      </w:r>
      <w:r>
        <w:rPr>
          <w:noProof/>
        </w:rPr>
        <w:t>1</w:t>
      </w:r>
      <w:r>
        <w:fldChar w:fldCharType="end"/>
      </w:r>
      <w:r>
        <w:t xml:space="preserve"> shows the internal structure of an LSTM block.</w:t>
      </w:r>
    </w:p>
    <w:p w:rsidR="00070A1B" w:rsidRPr="00070A1B" w:rsidRDefault="00070A1B" w:rsidP="00070A1B"/>
    <w:p w:rsidR="001D0236" w:rsidRPr="005B520E" w:rsidRDefault="00070A1B" w:rsidP="001D0236">
      <w:pPr>
        <w:pStyle w:val="Heading2"/>
        <w:keepLines/>
        <w:autoSpaceDE/>
        <w:autoSpaceDN/>
      </w:pPr>
      <w:proofErr w:type="spellStart"/>
      <w:r>
        <w:t>D</w:t>
      </w:r>
      <w:r w:rsidR="001D0236">
        <w:t>eepDeath</w:t>
      </w:r>
      <w:proofErr w:type="spellEnd"/>
    </w:p>
    <w:p w:rsidR="00C2692F" w:rsidRDefault="00C2692F" w:rsidP="001D0236">
      <w:pPr>
        <w:pStyle w:val="BodyText"/>
      </w:pPr>
    </w:p>
    <w:p w:rsidR="00C2692F" w:rsidRDefault="001D0236" w:rsidP="001D0236">
      <w:pPr>
        <w:pStyle w:val="Heading1"/>
      </w:pPr>
      <w:r>
        <w:t>Results</w:t>
      </w:r>
    </w:p>
    <w:p w:rsidR="001D0236" w:rsidRDefault="001D0236" w:rsidP="001D0236">
      <w:pPr>
        <w:pStyle w:val="BodyText"/>
        <w:numPr>
          <w:ilvl w:val="0"/>
          <w:numId w:val="24"/>
        </w:numPr>
      </w:pPr>
      <w:r>
        <w:t xml:space="preserve">Bigrams capture some </w:t>
      </w:r>
      <w:proofErr w:type="spellStart"/>
      <w:r>
        <w:t>termporal</w:t>
      </w:r>
      <w:proofErr w:type="spellEnd"/>
      <w:r>
        <w:t xml:space="preserve"> information by comparing unigrams to bigrams.</w:t>
      </w:r>
    </w:p>
    <w:p w:rsidR="008F3F95" w:rsidRPr="001738EB" w:rsidRDefault="008F3F95" w:rsidP="008F3F95">
      <w:pPr>
        <w:jc w:val="both"/>
      </w:pPr>
      <w:r w:rsidRPr="008F3F95">
        <w:t xml:space="preserve">We represent </w:t>
      </w:r>
      <w:r w:rsidRPr="008F3F95">
        <w:rPr>
          <w:color w:val="FF0000"/>
        </w:rPr>
        <w:t xml:space="preserve">XXX of  YYY in </w:t>
      </w:r>
      <w:r w:rsidRPr="008F3F95">
        <w:t>a two-dimensional space</w:t>
      </w:r>
      <w:r w:rsidRPr="008F3F95">
        <w:rPr>
          <w:color w:val="FF0000"/>
        </w:rPr>
        <w:t xml:space="preserve"> </w:t>
      </w:r>
      <w:r w:rsidRPr="008F3F95">
        <w:t xml:space="preserve">by t-SNE </w:t>
      </w:r>
      <w:r w:rsidRPr="008F3F95">
        <w:fldChar w:fldCharType="begin"/>
      </w:r>
      <w:r w:rsidRPr="008F3F95">
        <w:instrText xml:space="preserve"> ADDIN EN.CITE &lt;EndNote&gt;&lt;Cite&gt;&lt;Author&gt;Maaten&lt;/Author&gt;&lt;Year&gt;2008&lt;/Year&gt;&lt;RecNum&gt;157&lt;/RecNum&gt;&lt;DisplayText&gt;[28]&lt;/DisplayText&gt;&lt;record&gt;&lt;rec-number&gt;157&lt;/rec-number&gt;&lt;foreign-keys&gt;&lt;key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Pr="008F3F95">
        <w:fldChar w:fldCharType="separate"/>
      </w:r>
      <w:r w:rsidRPr="008F3F95">
        <w:rPr>
          <w:noProof/>
        </w:rPr>
        <w:t>[28]</w:t>
      </w:r>
      <w:r w:rsidRPr="008F3F95">
        <w:fldChar w:fldCharType="end"/>
      </w:r>
      <w:r w:rsidRPr="008F3F95">
        <w:t>, as shown in figure</w:t>
      </w:r>
      <w:r w:rsidRPr="008F3F95">
        <w:rPr>
          <w:color w:val="FF0000"/>
        </w:rPr>
        <w:t xml:space="preserve"> X</w:t>
      </w:r>
      <w:r w:rsidRPr="008F3F95">
        <w:t xml:space="preserve">. We divide the samples into two groups based on whether the underlying cause belong to infectious and parasitic diseases (ICD-10 code starting with “A” or “B”) or not. We believe that the pathologies and disease progression patterns of infectious and parasitic diseases are significantly different from other diseases. From figure </w:t>
      </w:r>
      <w:r w:rsidRPr="008F3F95">
        <w:rPr>
          <w:color w:val="FF0000"/>
        </w:rPr>
        <w:t xml:space="preserve">X, </w:t>
      </w:r>
      <w:r w:rsidRPr="008F3F95">
        <w:t>we</w:t>
      </w:r>
      <w:r w:rsidRPr="008F3F95">
        <w:rPr>
          <w:color w:val="FF0000"/>
        </w:rPr>
        <w:t xml:space="preserve"> </w:t>
      </w:r>
      <w:r w:rsidRPr="008F3F95">
        <w:t xml:space="preserve">observe that the dots representing infectious and parasitic diseases primarily form unique structures on the </w:t>
      </w:r>
      <w:r w:rsidRPr="008F3F95">
        <w:lastRenderedPageBreak/>
        <w:t>right of the figure, which suggests that our deep learning model have the potential to distinguish samples with clinically interpretable meanings.</w:t>
      </w:r>
    </w:p>
    <w:p w:rsidR="001D0236" w:rsidRPr="001738EB" w:rsidRDefault="001D0236" w:rsidP="001D0236"/>
    <w:p w:rsidR="001D0236" w:rsidRDefault="001D0236" w:rsidP="001D0236">
      <w:pPr>
        <w:pStyle w:val="Heading3"/>
        <w:keepNext w:val="0"/>
        <w:numPr>
          <w:ilvl w:val="2"/>
          <w:numId w:val="0"/>
        </w:numPr>
        <w:tabs>
          <w:tab w:val="num" w:pos="540"/>
        </w:tabs>
        <w:autoSpaceDE/>
        <w:autoSpaceDN/>
        <w:spacing w:line="240" w:lineRule="exact"/>
        <w:ind w:firstLine="180"/>
        <w:jc w:val="both"/>
      </w:pPr>
    </w:p>
    <w:p w:rsidR="001D0236" w:rsidRPr="005B520E" w:rsidRDefault="001D0236" w:rsidP="001D0236">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D0236" w:rsidTr="00FA07EA">
        <w:trPr>
          <w:cantSplit/>
          <w:trHeight w:val="240"/>
          <w:tblHeader/>
          <w:jc w:val="center"/>
        </w:trPr>
        <w:tc>
          <w:tcPr>
            <w:tcW w:w="720" w:type="dxa"/>
            <w:vMerge w:val="restart"/>
            <w:vAlign w:val="center"/>
          </w:tcPr>
          <w:p w:rsidR="001D0236" w:rsidRDefault="001D0236" w:rsidP="00FA07EA">
            <w:pPr>
              <w:pStyle w:val="tablecolhead"/>
            </w:pPr>
            <w:r>
              <w:t>Table Head</w:t>
            </w:r>
          </w:p>
        </w:tc>
        <w:tc>
          <w:tcPr>
            <w:tcW w:w="4140" w:type="dxa"/>
            <w:gridSpan w:val="3"/>
            <w:vAlign w:val="center"/>
          </w:tcPr>
          <w:p w:rsidR="001D0236" w:rsidRDefault="001D0236" w:rsidP="00FA07EA">
            <w:pPr>
              <w:pStyle w:val="tablecolhead"/>
            </w:pPr>
            <w:r>
              <w:t>Table Column Head</w:t>
            </w:r>
          </w:p>
        </w:tc>
      </w:tr>
      <w:tr w:rsidR="001D0236" w:rsidTr="00FA07EA">
        <w:trPr>
          <w:cantSplit/>
          <w:trHeight w:val="240"/>
          <w:tblHeader/>
          <w:jc w:val="center"/>
        </w:trPr>
        <w:tc>
          <w:tcPr>
            <w:tcW w:w="720" w:type="dxa"/>
            <w:vMerge/>
          </w:tcPr>
          <w:p w:rsidR="001D0236" w:rsidRDefault="001D0236" w:rsidP="00FA07EA">
            <w:pPr>
              <w:rPr>
                <w:sz w:val="16"/>
                <w:szCs w:val="16"/>
              </w:rPr>
            </w:pPr>
          </w:p>
        </w:tc>
        <w:tc>
          <w:tcPr>
            <w:tcW w:w="2340" w:type="dxa"/>
            <w:vAlign w:val="center"/>
          </w:tcPr>
          <w:p w:rsidR="001D0236" w:rsidRDefault="001D0236" w:rsidP="00FA07EA">
            <w:pPr>
              <w:pStyle w:val="tablecolsubhead"/>
            </w:pPr>
            <w:r>
              <w:t>Table column subhead</w:t>
            </w:r>
          </w:p>
        </w:tc>
        <w:tc>
          <w:tcPr>
            <w:tcW w:w="900" w:type="dxa"/>
            <w:vAlign w:val="center"/>
          </w:tcPr>
          <w:p w:rsidR="001D0236" w:rsidRDefault="001D0236" w:rsidP="00FA07EA">
            <w:pPr>
              <w:pStyle w:val="tablecolsubhead"/>
            </w:pPr>
            <w:r>
              <w:t>Subhead</w:t>
            </w:r>
          </w:p>
        </w:tc>
        <w:tc>
          <w:tcPr>
            <w:tcW w:w="900" w:type="dxa"/>
            <w:vAlign w:val="center"/>
          </w:tcPr>
          <w:p w:rsidR="001D0236" w:rsidRDefault="001D0236" w:rsidP="00FA07EA">
            <w:pPr>
              <w:pStyle w:val="tablecolsubhead"/>
            </w:pPr>
            <w:r>
              <w:t>Subhead</w:t>
            </w:r>
          </w:p>
        </w:tc>
      </w:tr>
      <w:tr w:rsidR="001D0236" w:rsidTr="00FA07EA">
        <w:trPr>
          <w:trHeight w:val="320"/>
          <w:jc w:val="center"/>
        </w:trPr>
        <w:tc>
          <w:tcPr>
            <w:tcW w:w="720" w:type="dxa"/>
            <w:vAlign w:val="center"/>
          </w:tcPr>
          <w:p w:rsidR="001D0236" w:rsidRDefault="001D0236" w:rsidP="00FA07EA">
            <w:pPr>
              <w:pStyle w:val="tablecopy"/>
              <w:rPr>
                <w:sz w:val="8"/>
                <w:szCs w:val="8"/>
              </w:rPr>
            </w:pPr>
            <w:r>
              <w:t>copy</w:t>
            </w:r>
          </w:p>
        </w:tc>
        <w:tc>
          <w:tcPr>
            <w:tcW w:w="2340" w:type="dxa"/>
            <w:vAlign w:val="center"/>
          </w:tcPr>
          <w:p w:rsidR="001D0236" w:rsidRDefault="001D0236" w:rsidP="00FA07EA">
            <w:pPr>
              <w:pStyle w:val="tablecopy"/>
            </w:pPr>
            <w:r>
              <w:t>More table copy</w:t>
            </w:r>
            <w:r>
              <w:rPr>
                <w:vertAlign w:val="superscript"/>
              </w:rPr>
              <w:t>a</w:t>
            </w:r>
          </w:p>
        </w:tc>
        <w:tc>
          <w:tcPr>
            <w:tcW w:w="900" w:type="dxa"/>
            <w:vAlign w:val="center"/>
          </w:tcPr>
          <w:p w:rsidR="001D0236" w:rsidRDefault="001D0236" w:rsidP="00FA07EA">
            <w:pPr>
              <w:rPr>
                <w:sz w:val="16"/>
                <w:szCs w:val="16"/>
              </w:rPr>
            </w:pPr>
          </w:p>
        </w:tc>
        <w:tc>
          <w:tcPr>
            <w:tcW w:w="900" w:type="dxa"/>
            <w:vAlign w:val="center"/>
          </w:tcPr>
          <w:p w:rsidR="001D0236" w:rsidRDefault="001D0236" w:rsidP="00FA07EA">
            <w:pPr>
              <w:rPr>
                <w:sz w:val="16"/>
                <w:szCs w:val="16"/>
              </w:rPr>
            </w:pPr>
          </w:p>
        </w:tc>
      </w:tr>
    </w:tbl>
    <w:p w:rsidR="001D0236" w:rsidRPr="005B520E" w:rsidRDefault="001D0236" w:rsidP="001D0236">
      <w:pPr>
        <w:pStyle w:val="tablefootnote"/>
      </w:pPr>
      <w:r>
        <w:t xml:space="preserve">a. Sample of a </w:t>
      </w:r>
      <w:r w:rsidRPr="005B520E">
        <w:t>Table</w:t>
      </w:r>
      <w:r>
        <w:t xml:space="preserve"> footnote. </w:t>
      </w:r>
      <w:r w:rsidRPr="005B520E">
        <w:t>(Table footnote)</w:t>
      </w:r>
    </w:p>
    <w:p w:rsidR="001D0236" w:rsidRDefault="008F3F95" w:rsidP="001D0236">
      <w:r w:rsidRPr="001D0236">
        <w:rPr>
          <w:smallCaps/>
          <w:noProof/>
        </w:rPr>
        <mc:AlternateContent>
          <mc:Choice Requires="wps">
            <w:drawing>
              <wp:anchor distT="0" distB="0" distL="114300" distR="114300" simplePos="0" relativeHeight="251660800" behindDoc="1" locked="0" layoutInCell="1" allowOverlap="1" wp14:anchorId="2F34E160" wp14:editId="1AB6EA0E">
                <wp:simplePos x="0" y="0"/>
                <wp:positionH relativeFrom="margin">
                  <wp:align>center</wp:align>
                </wp:positionH>
                <wp:positionV relativeFrom="paragraph">
                  <wp:posOffset>4692</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3" w:name="_Ref474952977"/>
                            <w:r>
                              <w:t xml:space="preserve">Figure </w:t>
                            </w:r>
                            <w:r>
                              <w:fldChar w:fldCharType="begin"/>
                            </w:r>
                            <w:r>
                              <w:instrText xml:space="preserve"> SEQ Figure \* ARABIC </w:instrText>
                            </w:r>
                            <w:r>
                              <w:fldChar w:fldCharType="separate"/>
                            </w:r>
                            <w:r>
                              <w:t>3</w:t>
                            </w:r>
                            <w:r>
                              <w:fldChar w:fldCharType="end"/>
                            </w:r>
                            <w:bookmarkEnd w:id="3"/>
                            <w:r w:rsidRPr="00F73F08">
                              <w:t>: The block diagram of DeepDeath</w:t>
                            </w:r>
                          </w:p>
                          <w:p w:rsidR="001D0236" w:rsidRDefault="001D0236" w:rsidP="000F29FD">
                            <w:pPr>
                              <w:pStyle w:val="figurecaption"/>
                              <w:numPr>
                                <w:ilvl w:val="0"/>
                                <w:numId w:val="0"/>
                              </w:numPr>
                              <w:jc w:val="left"/>
                            </w:pPr>
                            <w:r w:rsidRPr="00DE7350">
                              <w:drawing>
                                <wp:inline distT="0" distB="0" distL="0" distR="0" wp14:anchorId="10C8A4FC" wp14:editId="7C6E198E">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4E160" id="_x0000_s1028" type="#_x0000_t202" style="position:absolute;margin-left:0;margin-top:.35pt;width:330.4pt;height:257.3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">
                <v:textbox>
                  <w:txbxContent>
                    <w:p w:rsidR="001D0236" w:rsidRDefault="001D0236" w:rsidP="001D0236">
                      <w:pPr>
                        <w:pStyle w:val="figurecaption"/>
                      </w:pPr>
                      <w:bookmarkStart w:id="5" w:name="_Ref474952977"/>
                      <w:r>
                        <w:t xml:space="preserve">Figure </w:t>
                      </w:r>
                      <w:r>
                        <w:fldChar w:fldCharType="begin"/>
                      </w:r>
                      <w:r>
                        <w:instrText xml:space="preserve"> SEQ Figure \* ARABIC </w:instrText>
                      </w:r>
                      <w:r>
                        <w:fldChar w:fldCharType="separate"/>
                      </w:r>
                      <w:r>
                        <w:t>3</w:t>
                      </w:r>
                      <w:r>
                        <w:fldChar w:fldCharType="end"/>
                      </w:r>
                      <w:bookmarkEnd w:id="5"/>
                      <w:r w:rsidRPr="00F73F08">
                        <w:t>: The block diagram of DeepDeath</w:t>
                      </w:r>
                    </w:p>
                    <w:p w:rsidR="001D0236" w:rsidRDefault="001D0236" w:rsidP="000F29FD">
                      <w:pPr>
                        <w:pStyle w:val="figurecaption"/>
                        <w:numPr>
                          <w:ilvl w:val="0"/>
                          <w:numId w:val="0"/>
                        </w:numPr>
                        <w:jc w:val="left"/>
                      </w:pPr>
                      <w:r w:rsidRPr="00DE7350">
                        <w:rPr>
                          <w:lang w:eastAsia="zh-TW"/>
                        </w:rPr>
                        <w:drawing>
                          <wp:inline distT="0" distB="0" distL="0" distR="0" wp14:anchorId="10C8A4FC" wp14:editId="7C6E198E">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anchorx="margin"/>
              </v:shape>
            </w:pict>
          </mc:Fallback>
        </mc:AlternateContent>
      </w:r>
    </w:p>
    <w:p w:rsidR="00C2692F" w:rsidRDefault="00C2692F">
      <w:pPr>
        <w:pStyle w:val="Heading1"/>
      </w:pPr>
      <w:r>
        <w:t>Conclusion</w:t>
      </w:r>
    </w:p>
    <w:p w:rsidR="001D0236" w:rsidRDefault="001D0236" w:rsidP="001D0236">
      <w:pPr>
        <w:pStyle w:val="Text"/>
      </w:pPr>
      <w:r>
        <w:t xml:space="preserve">Concluded that deep is the </w:t>
      </w:r>
      <w:proofErr w:type="gramStart"/>
      <w:r>
        <w:t>power!.</w:t>
      </w:r>
      <w:proofErr w:type="gramEnd"/>
      <w:r>
        <w:t xml:space="preserve"> </w:t>
      </w:r>
    </w:p>
    <w:p w:rsidR="0015028E" w:rsidRDefault="001D0236" w:rsidP="001D0236">
      <w:pPr>
        <w:pStyle w:val="ReferenceHead"/>
      </w:pPr>
      <w:r w:rsidRPr="001D0236">
        <w:rPr>
          <w:smallCaps w:val="0"/>
          <w:kern w:val="0"/>
        </w:rPr>
        <w:t xml:space="preserve">Future work to use other available features in recorded </w:t>
      </w:r>
      <w:proofErr w:type="spellStart"/>
      <w:r w:rsidRPr="001D0236">
        <w:rPr>
          <w:smallCaps w:val="0"/>
          <w:kern w:val="0"/>
        </w:rPr>
        <w:t>moratlity</w:t>
      </w:r>
      <w:proofErr w:type="spellEnd"/>
      <w:r w:rsidRPr="001D0236">
        <w:rPr>
          <w:smallCaps w:val="0"/>
          <w:kern w:val="0"/>
        </w:rPr>
        <w:t xml:space="preserve"> data such as demographic, socioeconomic</w:t>
      </w:r>
    </w:p>
    <w:p w:rsidR="00C2692F" w:rsidRDefault="008F3F95" w:rsidP="00F76A64">
      <w:pPr>
        <w:pStyle w:val="ReferenceHead"/>
      </w:pPr>
      <w:r>
        <w:rPr>
          <w:noProof/>
        </w:rPr>
        <mc:AlternateContent>
          <mc:Choice Requires="wps">
            <w:drawing>
              <wp:anchor distT="0" distB="0" distL="114300" distR="114300" simplePos="0" relativeHeight="251668992" behindDoc="1" locked="0" layoutInCell="1" allowOverlap="1" wp14:anchorId="3F4252F8" wp14:editId="6E75CCBB">
                <wp:simplePos x="0" y="0"/>
                <wp:positionH relativeFrom="margin">
                  <wp:align>left</wp:align>
                </wp:positionH>
                <wp:positionV relativeFrom="paragraph">
                  <wp:posOffset>1327785</wp:posOffset>
                </wp:positionV>
                <wp:extent cx="3241040" cy="2257425"/>
                <wp:effectExtent l="0" t="0" r="16510" b="28575"/>
                <wp:wrapTight wrapText="bothSides">
                  <wp:wrapPolygon edited="0">
                    <wp:start x="0" y="0"/>
                    <wp:lineTo x="0" y="21691"/>
                    <wp:lineTo x="21583" y="21691"/>
                    <wp:lineTo x="21583"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257425"/>
                        </a:xfrm>
                        <a:prstGeom prst="rect">
                          <a:avLst/>
                        </a:prstGeom>
                        <a:solidFill>
                          <a:srgbClr val="FFFFFF"/>
                        </a:solidFill>
                        <a:ln w="9525">
                          <a:solidFill>
                            <a:srgbClr val="000000"/>
                          </a:solidFill>
                          <a:miter lim="800000"/>
                          <a:headEnd/>
                          <a:tailEnd/>
                        </a:ln>
                      </wps:spPr>
                      <wps:txbx>
                        <w:txbxContent>
                          <w:p w:rsidR="008F3F95" w:rsidRDefault="008F3F95" w:rsidP="008F3F95">
                            <w:pPr>
                              <w:pStyle w:val="figurecaption"/>
                            </w:pPr>
                            <w:r w:rsidRPr="008F3F95">
                              <w:rPr>
                                <w:color w:val="FF0000"/>
                              </w:rPr>
                              <w:t xml:space="preserve">xxxxxx </w:t>
                            </w:r>
                            <w:r>
                              <w:drawing>
                                <wp:inline distT="0" distB="0" distL="0" distR="0">
                                  <wp:extent cx="2845558" cy="20565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252F8" id="_x0000_s1029" type="#_x0000_t202" style="position:absolute;left:0;text-align:left;margin-left:0;margin-top:104.55pt;width:255.2pt;height:177.75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">
                <v:textbox>
                  <w:txbxContent>
                    <w:p w:rsidR="008F3F95" w:rsidRDefault="008F3F95" w:rsidP="008F3F95">
                      <w:pPr>
                        <w:pStyle w:val="figurecaption"/>
                      </w:pPr>
                      <w:bookmarkStart w:id="7" w:name="_GoBack"/>
                      <w:r w:rsidRPr="008F3F95">
                        <w:rPr>
                          <w:color w:val="FF0000"/>
                        </w:rPr>
                        <w:t>xxxxxx</w:t>
                      </w:r>
                      <w:r w:rsidRPr="008F3F95">
                        <w:rPr>
                          <w:color w:val="FF0000"/>
                        </w:rPr>
                        <w:t xml:space="preserve"> </w:t>
                      </w:r>
                      <w:bookmarkEnd w:id="7"/>
                      <w:r>
                        <w:rPr>
                          <w:lang w:eastAsia="zh-TW"/>
                        </w:rPr>
                        <w:drawing>
                          <wp:inline distT="0" distB="0" distL="0" distR="0">
                            <wp:extent cx="2845558" cy="20565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DE7DE9" w:rsidRPr="00DE7DE9" w:rsidRDefault="00DE7DE9" w:rsidP="00DE7DE9">
      <w:pPr>
        <w:pStyle w:val="EndNoteBibliography"/>
        <w:ind w:left="720" w:hanging="720"/>
      </w:pPr>
      <w:r>
        <w:fldChar w:fldCharType="begin"/>
      </w:r>
      <w:r>
        <w:instrText xml:space="preserve"> ADDIN EN.REFLIST </w:instrText>
      </w:r>
      <w:r>
        <w:fldChar w:fldCharType="separate"/>
      </w:r>
      <w:r w:rsidRPr="00DE7DE9">
        <w:t>1.</w:t>
      </w:r>
      <w:r w:rsidRPr="00DE7DE9">
        <w:tab/>
        <w:t xml:space="preserve">Brooks, E.G. and K.D. Reed, </w:t>
      </w:r>
      <w:r w:rsidRPr="00DE7DE9">
        <w:rPr>
          <w:i/>
        </w:rPr>
        <w:t>Principles and pitfalls: a guide to death certification.</w:t>
      </w:r>
      <w:r w:rsidRPr="00DE7DE9">
        <w:t xml:space="preserve"> Clinical medicine &amp; research, 2015. </w:t>
      </w:r>
      <w:r w:rsidRPr="00DE7DE9">
        <w:rPr>
          <w:b/>
        </w:rPr>
        <w:t>13</w:t>
      </w:r>
      <w:r w:rsidRPr="00DE7DE9">
        <w:t>(2): p. 74-82.</w:t>
      </w:r>
    </w:p>
    <w:p w:rsidR="00DE7DE9" w:rsidRPr="00DE7DE9" w:rsidRDefault="00DE7DE9" w:rsidP="00DE7DE9">
      <w:pPr>
        <w:pStyle w:val="EndNoteBibliography"/>
        <w:ind w:left="720" w:hanging="720"/>
      </w:pPr>
      <w:r w:rsidRPr="00DE7DE9">
        <w:t>2.</w:t>
      </w:r>
      <w:r w:rsidRPr="00DE7DE9">
        <w:tab/>
        <w:t xml:space="preserve">Jha, P., </w:t>
      </w:r>
      <w:r w:rsidRPr="00DE7DE9">
        <w:rPr>
          <w:i/>
        </w:rPr>
        <w:t>Counting the dead is one of the world’s best investments to reduce premature mortality.</w:t>
      </w:r>
      <w:r w:rsidRPr="00DE7DE9">
        <w:t xml:space="preserve"> Hypothesis, 2012. </w:t>
      </w:r>
      <w:r w:rsidRPr="00DE7DE9">
        <w:rPr>
          <w:b/>
        </w:rPr>
        <w:t>10</w:t>
      </w:r>
      <w:r w:rsidRPr="00DE7DE9">
        <w:t>(1): p. e3.</w:t>
      </w:r>
    </w:p>
    <w:p w:rsidR="00DE7DE9" w:rsidRPr="00DE7DE9" w:rsidRDefault="00DE7DE9" w:rsidP="00DE7DE9">
      <w:pPr>
        <w:pStyle w:val="EndNoteBibliography"/>
        <w:ind w:left="720" w:hanging="720"/>
      </w:pPr>
      <w:r w:rsidRPr="00DE7DE9">
        <w:t>3.</w:t>
      </w:r>
      <w:r w:rsidRPr="00DE7DE9">
        <w:tab/>
        <w:t xml:space="preserve">Chorba, T.L., et al., </w:t>
      </w:r>
      <w:r w:rsidRPr="00DE7DE9">
        <w:rPr>
          <w:i/>
        </w:rPr>
        <w:t>Effects of HIV infection on age and cause of death for persons with hemophilia A in the United States.</w:t>
      </w:r>
      <w:r w:rsidRPr="00DE7DE9">
        <w:t xml:space="preserve"> American journal of hematology, 2001. </w:t>
      </w:r>
      <w:r w:rsidRPr="00DE7DE9">
        <w:rPr>
          <w:b/>
        </w:rPr>
        <w:t>66</w:t>
      </w:r>
      <w:r w:rsidRPr="00DE7DE9">
        <w:t>(4): p. 229-240.</w:t>
      </w:r>
    </w:p>
    <w:p w:rsidR="00DE7DE9" w:rsidRPr="00DE7DE9" w:rsidRDefault="00DE7DE9" w:rsidP="00DE7DE9">
      <w:pPr>
        <w:pStyle w:val="EndNoteBibliography"/>
        <w:ind w:left="720" w:hanging="720"/>
      </w:pPr>
      <w:r w:rsidRPr="00DE7DE9">
        <w:t>4.</w:t>
      </w:r>
      <w:r w:rsidRPr="00DE7DE9">
        <w:tab/>
        <w:t xml:space="preserve">Hooper, W.C., et al., </w:t>
      </w:r>
      <w:r w:rsidRPr="00DE7DE9">
        <w:rPr>
          <w:i/>
        </w:rPr>
        <w:t>Trends in non</w:t>
      </w:r>
      <w:r w:rsidRPr="00DE7DE9">
        <w:rPr>
          <w:rFonts w:ascii="Cambria Math" w:hAnsi="Cambria Math" w:cs="Cambria Math"/>
          <w:i/>
        </w:rPr>
        <w:t>‐</w:t>
      </w:r>
      <w:r w:rsidRPr="00DE7DE9">
        <w:rPr>
          <w:i/>
        </w:rPr>
        <w:t>hodgkin lymphoma (NHL) and HIV</w:t>
      </w:r>
      <w:r w:rsidRPr="00DE7DE9">
        <w:rPr>
          <w:rFonts w:ascii="Cambria Math" w:hAnsi="Cambria Math" w:cs="Cambria Math"/>
          <w:i/>
        </w:rPr>
        <w:t>‐</w:t>
      </w:r>
      <w:r w:rsidRPr="00DE7DE9">
        <w:rPr>
          <w:i/>
        </w:rPr>
        <w:t>associated NHL deaths in the United States.</w:t>
      </w:r>
      <w:r w:rsidRPr="00DE7DE9">
        <w:t xml:space="preserve"> American journal of hematology, 2001. </w:t>
      </w:r>
      <w:r w:rsidRPr="00DE7DE9">
        <w:rPr>
          <w:b/>
        </w:rPr>
        <w:t>66</w:t>
      </w:r>
      <w:r w:rsidRPr="00DE7DE9">
        <w:t>(3): p. 159-166.</w:t>
      </w:r>
    </w:p>
    <w:p w:rsidR="00DE7DE9" w:rsidRPr="00DE7DE9" w:rsidRDefault="00DE7DE9" w:rsidP="00DE7DE9">
      <w:pPr>
        <w:pStyle w:val="EndNoteBibliography"/>
        <w:ind w:left="720" w:hanging="720"/>
      </w:pPr>
      <w:r w:rsidRPr="00DE7DE9">
        <w:t>5.</w:t>
      </w:r>
      <w:r w:rsidRPr="00DE7DE9">
        <w:tab/>
        <w:t xml:space="preserve">Mannino, D.M., C. Brown, and G.A. Giovino, </w:t>
      </w:r>
      <w:r w:rsidRPr="00DE7DE9">
        <w:rPr>
          <w:i/>
        </w:rPr>
        <w:t>Obstructive lung disease deaths in the United States from 1979 through 1993: an analysis using multiple-cause mortality data.</w:t>
      </w:r>
      <w:r w:rsidRPr="00DE7DE9">
        <w:t xml:space="preserve"> American journal of respiratory and critical care medicine, 1997. </w:t>
      </w:r>
      <w:r w:rsidRPr="00DE7DE9">
        <w:rPr>
          <w:b/>
        </w:rPr>
        <w:t>156</w:t>
      </w:r>
      <w:r w:rsidRPr="00DE7DE9">
        <w:t>(3): p. 814-818.</w:t>
      </w:r>
    </w:p>
    <w:p w:rsidR="00DE7DE9" w:rsidRPr="00DE7DE9" w:rsidRDefault="00DE7DE9" w:rsidP="00DE7DE9">
      <w:pPr>
        <w:pStyle w:val="EndNoteBibliography"/>
        <w:ind w:left="720" w:hanging="720"/>
      </w:pPr>
      <w:r w:rsidRPr="00DE7DE9">
        <w:t>6.</w:t>
      </w:r>
      <w:r w:rsidRPr="00DE7DE9">
        <w:tab/>
        <w:t xml:space="preserve">Gordon, C., </w:t>
      </w:r>
      <w:r w:rsidRPr="00DE7DE9">
        <w:rPr>
          <w:i/>
        </w:rPr>
        <w:t>Australian Bureau of Statistics, Multiple cause of death analysis. Publication 3319.0. 55.001</w:t>
      </w:r>
      <w:r w:rsidRPr="00DE7DE9">
        <w:t>. 2003.</w:t>
      </w:r>
    </w:p>
    <w:p w:rsidR="00DE7DE9" w:rsidRPr="00DE7DE9" w:rsidRDefault="00DE7DE9" w:rsidP="00DE7DE9">
      <w:pPr>
        <w:pStyle w:val="EndNoteBibliography"/>
        <w:ind w:left="720" w:hanging="720"/>
      </w:pPr>
      <w:r w:rsidRPr="00DE7DE9">
        <w:t>7.</w:t>
      </w:r>
      <w:r w:rsidRPr="00DE7DE9">
        <w:tab/>
        <w:t xml:space="preserve">Bah, S. and M.M. Rahman, </w:t>
      </w:r>
      <w:r w:rsidRPr="00DE7DE9">
        <w:rPr>
          <w:i/>
        </w:rPr>
        <w:t>Measures of multiple-cause mortality: a synthesis and a notational framework.</w:t>
      </w:r>
      <w:r w:rsidRPr="00DE7DE9">
        <w:t xml:space="preserve"> Genus, 2009. </w:t>
      </w:r>
      <w:r w:rsidRPr="00DE7DE9">
        <w:rPr>
          <w:b/>
        </w:rPr>
        <w:t>65</w:t>
      </w:r>
      <w:r w:rsidRPr="00DE7DE9">
        <w:t>(2): p. 29-43.</w:t>
      </w:r>
    </w:p>
    <w:p w:rsidR="00DE7DE9" w:rsidRPr="00DE7DE9" w:rsidRDefault="00DE7DE9" w:rsidP="00DE7DE9">
      <w:pPr>
        <w:pStyle w:val="EndNoteBibliography"/>
        <w:ind w:left="720" w:hanging="720"/>
      </w:pPr>
      <w:r w:rsidRPr="00DE7DE9">
        <w:t>8.</w:t>
      </w:r>
      <w:r w:rsidRPr="00DE7DE9">
        <w:tab/>
        <w:t xml:space="preserve">Organization, W.H., </w:t>
      </w:r>
      <w:r w:rsidRPr="00DE7DE9">
        <w:rPr>
          <w:i/>
        </w:rPr>
        <w:t>International statistical classification of diseases and related health problems</w:t>
      </w:r>
      <w:r w:rsidRPr="00DE7DE9">
        <w:t>. Vol. 1. 2004: World Health Organization.</w:t>
      </w:r>
    </w:p>
    <w:p w:rsidR="00DE7DE9" w:rsidRPr="00DE7DE9" w:rsidRDefault="00DE7DE9" w:rsidP="00DE7DE9">
      <w:pPr>
        <w:pStyle w:val="EndNoteBibliography"/>
        <w:ind w:left="720" w:hanging="720"/>
      </w:pPr>
      <w:r w:rsidRPr="00DE7DE9">
        <w:t>9.</w:t>
      </w:r>
      <w:r w:rsidRPr="00DE7DE9">
        <w:tab/>
        <w:t xml:space="preserve">Israel, R.A., H.M. Rosenberg, and L.R. Curtin, </w:t>
      </w:r>
      <w:r w:rsidRPr="00DE7DE9">
        <w:rPr>
          <w:i/>
        </w:rPr>
        <w:t>Analytical potential for multiple cause-of-death data.</w:t>
      </w:r>
      <w:r w:rsidRPr="00DE7DE9">
        <w:t xml:space="preserve"> American journal of epidemiology, 1986. </w:t>
      </w:r>
      <w:r w:rsidRPr="00DE7DE9">
        <w:rPr>
          <w:b/>
        </w:rPr>
        <w:t>124</w:t>
      </w:r>
      <w:r w:rsidRPr="00DE7DE9">
        <w:t>(2): p. 161-81.</w:t>
      </w:r>
    </w:p>
    <w:p w:rsidR="00DE7DE9" w:rsidRPr="00DE7DE9" w:rsidRDefault="00DE7DE9" w:rsidP="00DE7DE9">
      <w:pPr>
        <w:pStyle w:val="EndNoteBibliography"/>
        <w:ind w:left="720" w:hanging="720"/>
      </w:pPr>
      <w:r w:rsidRPr="00DE7DE9">
        <w:t>10.</w:t>
      </w:r>
      <w:r w:rsidRPr="00DE7DE9">
        <w:tab/>
        <w:t xml:space="preserve">Brown, P.F., et al., </w:t>
      </w:r>
      <w:r w:rsidRPr="00DE7DE9">
        <w:rPr>
          <w:i/>
        </w:rPr>
        <w:t>Class-based n-gram models of natural language.</w:t>
      </w:r>
      <w:r w:rsidRPr="00DE7DE9">
        <w:t xml:space="preserve"> Computational linguistics, 1992. </w:t>
      </w:r>
      <w:r w:rsidRPr="00DE7DE9">
        <w:rPr>
          <w:b/>
        </w:rPr>
        <w:t>18</w:t>
      </w:r>
      <w:r w:rsidRPr="00DE7DE9">
        <w:t>(4): p. 467-479.</w:t>
      </w:r>
    </w:p>
    <w:p w:rsidR="00DE7DE9" w:rsidRPr="00DE7DE9" w:rsidRDefault="00DE7DE9" w:rsidP="00DE7DE9">
      <w:pPr>
        <w:pStyle w:val="EndNoteBibliography"/>
        <w:ind w:left="720" w:hanging="720"/>
      </w:pPr>
      <w:r w:rsidRPr="00DE7DE9">
        <w:t>11.</w:t>
      </w:r>
      <w:r w:rsidRPr="00DE7DE9">
        <w:tab/>
        <w:t xml:space="preserve">Pak, A. and P. Paroubek. </w:t>
      </w:r>
      <w:r w:rsidRPr="00DE7DE9">
        <w:rPr>
          <w:i/>
        </w:rPr>
        <w:t>Twitter as a Corpus for Sentiment Analysis and Opinion Mining</w:t>
      </w:r>
      <w:r w:rsidRPr="00DE7DE9">
        <w:t xml:space="preserve">. in </w:t>
      </w:r>
      <w:r w:rsidRPr="00DE7DE9">
        <w:rPr>
          <w:i/>
        </w:rPr>
        <w:t>LREc</w:t>
      </w:r>
      <w:r w:rsidRPr="00DE7DE9">
        <w:t>. 2010.</w:t>
      </w:r>
    </w:p>
    <w:p w:rsidR="00DE7DE9" w:rsidRPr="00DE7DE9" w:rsidRDefault="00DE7DE9" w:rsidP="00DE7DE9">
      <w:pPr>
        <w:pStyle w:val="EndNoteBibliography"/>
        <w:ind w:left="720" w:hanging="720"/>
      </w:pPr>
      <w:r w:rsidRPr="00DE7DE9">
        <w:t>12.</w:t>
      </w:r>
      <w:r w:rsidRPr="00DE7DE9">
        <w:tab/>
        <w:t xml:space="preserve">Marafino, B.J., et al., </w:t>
      </w:r>
      <w:r w:rsidRPr="00DE7DE9">
        <w:rPr>
          <w:i/>
        </w:rPr>
        <w:t>N-gram support vector machines for scalable procedure and diagnosis classification, with applications to clinical free text data from the intensive care unit.</w:t>
      </w:r>
      <w:r w:rsidRPr="00DE7DE9">
        <w:t xml:space="preserve"> Journal of the American Medical Informatics Association, 2014. </w:t>
      </w:r>
      <w:r w:rsidRPr="00DE7DE9">
        <w:rPr>
          <w:b/>
        </w:rPr>
        <w:t>21</w:t>
      </w:r>
      <w:r w:rsidRPr="00DE7DE9">
        <w:t>(5): p. 871-875.</w:t>
      </w:r>
    </w:p>
    <w:p w:rsidR="00DE7DE9" w:rsidRPr="00DE7DE9" w:rsidRDefault="00DE7DE9" w:rsidP="00DE7DE9">
      <w:pPr>
        <w:pStyle w:val="EndNoteBibliography"/>
        <w:ind w:left="720" w:hanging="720"/>
      </w:pPr>
      <w:r w:rsidRPr="00DE7DE9">
        <w:t>13.</w:t>
      </w:r>
      <w:r w:rsidRPr="00DE7DE9">
        <w:tab/>
        <w:t xml:space="preserve">Kešelj, V., et al. </w:t>
      </w:r>
      <w:r w:rsidRPr="00DE7DE9">
        <w:rPr>
          <w:i/>
        </w:rPr>
        <w:t>N-gram-based author profiles for authorship attribution</w:t>
      </w:r>
      <w:r w:rsidRPr="00DE7DE9">
        <w:t xml:space="preserve">. in </w:t>
      </w:r>
      <w:r w:rsidRPr="00DE7DE9">
        <w:rPr>
          <w:i/>
        </w:rPr>
        <w:t>Proceedings of the conference pacific association for computational linguistics, PACLING</w:t>
      </w:r>
      <w:r w:rsidRPr="00DE7DE9">
        <w:t>. 2003.</w:t>
      </w:r>
    </w:p>
    <w:p w:rsidR="00DE7DE9" w:rsidRPr="00DE7DE9" w:rsidRDefault="00DE7DE9" w:rsidP="00DE7DE9">
      <w:pPr>
        <w:pStyle w:val="EndNoteBibliography"/>
        <w:ind w:left="720" w:hanging="720"/>
      </w:pPr>
      <w:r w:rsidRPr="00DE7DE9">
        <w:t>14.</w:t>
      </w:r>
      <w:r w:rsidRPr="00DE7DE9">
        <w:tab/>
        <w:t xml:space="preserve">Tomović, A., P. Janičić, and V. Kešelj, </w:t>
      </w:r>
      <w:r w:rsidRPr="00DE7DE9">
        <w:rPr>
          <w:i/>
        </w:rPr>
        <w:t>n-Gram-based classification and unsupervised hierarchical clustering of genome sequences.</w:t>
      </w:r>
      <w:r w:rsidRPr="00DE7DE9">
        <w:t xml:space="preserve"> Computer methods and programs in biomedicine, 2006. </w:t>
      </w:r>
      <w:r w:rsidRPr="00DE7DE9">
        <w:rPr>
          <w:b/>
        </w:rPr>
        <w:t>81</w:t>
      </w:r>
      <w:r w:rsidRPr="00DE7DE9">
        <w:t>(2): p. 137-153.</w:t>
      </w:r>
    </w:p>
    <w:p w:rsidR="00DE7DE9" w:rsidRPr="00DE7DE9" w:rsidRDefault="00DE7DE9" w:rsidP="00DE7DE9">
      <w:pPr>
        <w:pStyle w:val="EndNoteBibliography"/>
        <w:ind w:left="720" w:hanging="720"/>
      </w:pPr>
      <w:r w:rsidRPr="00DE7DE9">
        <w:t>15.</w:t>
      </w:r>
      <w:r w:rsidRPr="00DE7DE9">
        <w:tab/>
        <w:t xml:space="preserve">Wajid, B. and E. Serpedin, </w:t>
      </w:r>
      <w:r w:rsidRPr="00DE7DE9">
        <w:rPr>
          <w:i/>
        </w:rPr>
        <w:t>Review of general algorithmic features for genome assemblers for next generation sequencers.</w:t>
      </w:r>
      <w:r w:rsidRPr="00DE7DE9">
        <w:t xml:space="preserve"> Genomics, proteomics &amp; bioinformatics, 2012. </w:t>
      </w:r>
      <w:r w:rsidRPr="00DE7DE9">
        <w:rPr>
          <w:b/>
        </w:rPr>
        <w:t>10</w:t>
      </w:r>
      <w:r w:rsidRPr="00DE7DE9">
        <w:t>(2): p. 58-73.</w:t>
      </w:r>
    </w:p>
    <w:p w:rsidR="00DE7DE9" w:rsidRPr="00DE7DE9" w:rsidRDefault="00DE7DE9" w:rsidP="00DE7DE9">
      <w:pPr>
        <w:pStyle w:val="EndNoteBibliography"/>
        <w:ind w:left="720" w:hanging="720"/>
      </w:pPr>
      <w:r w:rsidRPr="00DE7DE9">
        <w:t>16.</w:t>
      </w:r>
      <w:r w:rsidRPr="00DE7DE9">
        <w:tab/>
        <w:t xml:space="preserve">Keller, J.M., M.R. Gray, and J.A. Givens, </w:t>
      </w:r>
      <w:r w:rsidRPr="00DE7DE9">
        <w:rPr>
          <w:i/>
        </w:rPr>
        <w:t>A fuzzy k-nearest neighbor algorithm.</w:t>
      </w:r>
      <w:r w:rsidRPr="00DE7DE9">
        <w:t xml:space="preserve"> IEEE transactions on systems, man, and cybernetics, 1985(4): p. 580-585.</w:t>
      </w:r>
    </w:p>
    <w:p w:rsidR="00DE7DE9" w:rsidRPr="00DE7DE9" w:rsidRDefault="00DE7DE9" w:rsidP="00DE7DE9">
      <w:pPr>
        <w:pStyle w:val="EndNoteBibliography"/>
        <w:ind w:left="720" w:hanging="720"/>
      </w:pPr>
      <w:r w:rsidRPr="00DE7DE9">
        <w:lastRenderedPageBreak/>
        <w:t>17.</w:t>
      </w:r>
      <w:r w:rsidRPr="00DE7DE9">
        <w:tab/>
        <w:t xml:space="preserve">Liaw, A. and M. Wiener, </w:t>
      </w:r>
      <w:r w:rsidRPr="00DE7DE9">
        <w:rPr>
          <w:i/>
        </w:rPr>
        <w:t>Classification and regression by randomForest.</w:t>
      </w:r>
      <w:r w:rsidRPr="00DE7DE9">
        <w:t xml:space="preserve"> R news, 2002. </w:t>
      </w:r>
      <w:r w:rsidRPr="00DE7DE9">
        <w:rPr>
          <w:b/>
        </w:rPr>
        <w:t>2</w:t>
      </w:r>
      <w:r w:rsidRPr="00DE7DE9">
        <w:t>(3): p. 18-22.</w:t>
      </w:r>
    </w:p>
    <w:p w:rsidR="00DE7DE9" w:rsidRPr="00DE7DE9" w:rsidRDefault="00DE7DE9" w:rsidP="00DE7DE9">
      <w:pPr>
        <w:pStyle w:val="EndNoteBibliography"/>
        <w:ind w:left="720" w:hanging="720"/>
      </w:pPr>
      <w:r w:rsidRPr="00DE7DE9">
        <w:t>18.</w:t>
      </w:r>
      <w:r w:rsidRPr="00DE7DE9">
        <w:tab/>
        <w:t xml:space="preserve">Park, Y. and M. Kellis, </w:t>
      </w:r>
      <w:r w:rsidRPr="00DE7DE9">
        <w:rPr>
          <w:i/>
        </w:rPr>
        <w:t>Deep learning for regulatory genomics.</w:t>
      </w:r>
      <w:r w:rsidRPr="00DE7DE9">
        <w:t xml:space="preserve"> Nat Biotechnol, 2015. </w:t>
      </w:r>
      <w:r w:rsidRPr="00DE7DE9">
        <w:rPr>
          <w:b/>
        </w:rPr>
        <w:t>33</w:t>
      </w:r>
      <w:r w:rsidRPr="00DE7DE9">
        <w:t>(8): p. 825-6.</w:t>
      </w:r>
    </w:p>
    <w:p w:rsidR="00DE7DE9" w:rsidRPr="00DE7DE9" w:rsidRDefault="00DE7DE9" w:rsidP="00DE7DE9">
      <w:pPr>
        <w:pStyle w:val="EndNoteBibliography"/>
        <w:ind w:left="720" w:hanging="720"/>
      </w:pPr>
      <w:r w:rsidRPr="00DE7DE9">
        <w:t>19.</w:t>
      </w:r>
      <w:r w:rsidRPr="00DE7DE9">
        <w:tab/>
        <w:t xml:space="preserve">Hassanzadeh, H.R. and M.D. Wang, </w:t>
      </w:r>
      <w:r w:rsidRPr="00DE7DE9">
        <w:rPr>
          <w:i/>
        </w:rPr>
        <w:t>DeeperBind: Enhancing Prediction of Sequence Specificities of DNA Binding Proteins</w:t>
      </w:r>
      <w:r w:rsidRPr="00DE7DE9">
        <w:t xml:space="preserve">, in </w:t>
      </w:r>
      <w:r w:rsidRPr="00DE7DE9">
        <w:rPr>
          <w:i/>
        </w:rPr>
        <w:t>Bioinformatics and Biomedicine (BIBM), 2016 IEEE International Conference on</w:t>
      </w:r>
      <w:r w:rsidRPr="00DE7DE9">
        <w:t>. 2016, IEEE. p. 178-183.</w:t>
      </w:r>
    </w:p>
    <w:p w:rsidR="00DE7DE9" w:rsidRPr="00DE7DE9" w:rsidRDefault="00DE7DE9" w:rsidP="00DE7DE9">
      <w:pPr>
        <w:pStyle w:val="EndNoteBibliography"/>
        <w:ind w:left="720" w:hanging="720"/>
      </w:pPr>
      <w:r w:rsidRPr="00DE7DE9">
        <w:t>20.</w:t>
      </w:r>
      <w:r w:rsidRPr="00DE7DE9">
        <w:tab/>
        <w:t xml:space="preserve">Alipanahi, B., et al., </w:t>
      </w:r>
      <w:r w:rsidRPr="00DE7DE9">
        <w:rPr>
          <w:i/>
        </w:rPr>
        <w:t>Predicting the sequence specificities of DNA-and RNA-binding proteins by deep learning.</w:t>
      </w:r>
      <w:r w:rsidRPr="00DE7DE9">
        <w:t xml:space="preserve"> Nature biotechnology, 2015. </w:t>
      </w:r>
      <w:r w:rsidRPr="00DE7DE9">
        <w:rPr>
          <w:b/>
        </w:rPr>
        <w:t>33</w:t>
      </w:r>
      <w:r w:rsidRPr="00DE7DE9">
        <w:t>(8): p. 831-838.</w:t>
      </w:r>
    </w:p>
    <w:p w:rsidR="00DE7DE9" w:rsidRPr="00DE7DE9" w:rsidRDefault="00DE7DE9" w:rsidP="00DE7DE9">
      <w:pPr>
        <w:pStyle w:val="EndNoteBibliography"/>
        <w:ind w:left="720" w:hanging="720"/>
      </w:pPr>
      <w:r w:rsidRPr="00DE7DE9">
        <w:t>21.</w:t>
      </w:r>
      <w:r w:rsidRPr="00DE7DE9">
        <w:tab/>
        <w:t xml:space="preserve">Hochreiter, S. and J. Schmidhuber, </w:t>
      </w:r>
      <w:r w:rsidRPr="00DE7DE9">
        <w:rPr>
          <w:i/>
        </w:rPr>
        <w:t>Long short-term memory.</w:t>
      </w:r>
      <w:r w:rsidRPr="00DE7DE9">
        <w:t xml:space="preserve"> Neural computation, 1997. </w:t>
      </w:r>
      <w:r w:rsidRPr="00DE7DE9">
        <w:rPr>
          <w:b/>
        </w:rPr>
        <w:t>9</w:t>
      </w:r>
      <w:r w:rsidRPr="00DE7DE9">
        <w:t>(8): p. 1735-1780.</w:t>
      </w:r>
    </w:p>
    <w:p w:rsidR="00C2692F" w:rsidRPr="007A28F1" w:rsidRDefault="00DE7DE9" w:rsidP="00DE7DE9">
      <w:pPr>
        <w:pStyle w:val="References"/>
        <w:numPr>
          <w:ilvl w:val="0"/>
          <w:numId w:val="0"/>
        </w:numPr>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8F8" w:rsidRDefault="00C578F8">
      <w:r>
        <w:separator/>
      </w:r>
    </w:p>
  </w:endnote>
  <w:endnote w:type="continuationSeparator" w:id="0">
    <w:p w:rsidR="00C578F8" w:rsidRDefault="00C5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8F8" w:rsidRDefault="00C578F8"/>
  </w:footnote>
  <w:footnote w:type="continuationSeparator" w:id="0">
    <w:p w:rsidR="00C578F8" w:rsidRDefault="00C578F8">
      <w:r>
        <w:continuationSeparator/>
      </w:r>
    </w:p>
  </w:footnote>
  <w:footnote w:id="1">
    <w:p w:rsidR="001D0236" w:rsidRDefault="001D0236"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1D0236" w:rsidRDefault="001D0236"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rsidR="001D0236" w:rsidRDefault="001D0236"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1D0236" w:rsidRDefault="001D0236"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C2692F" w:rsidRDefault="001D0236"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6"/>
  </w:num>
  <w:num w:numId="17">
    <w:abstractNumId w:val="4"/>
  </w:num>
  <w:num w:numId="18">
    <w:abstractNumId w:val="2"/>
  </w:num>
  <w:num w:numId="19">
    <w:abstractNumId w:val="15"/>
  </w:num>
  <w:num w:numId="20">
    <w:abstractNumId w:val="8"/>
  </w:num>
  <w:num w:numId="21">
    <w:abstractNumId w:val="6"/>
  </w:num>
  <w:num w:numId="22">
    <w:abstractNumId w:val="13"/>
  </w:num>
  <w:num w:numId="23">
    <w:abstractNumId w:val="14"/>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uNaAP0y3EcsAAAA"/>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item&gt;6&lt;/item&gt;&lt;item&gt;8&lt;/item&gt;&lt;item&gt;9&lt;/item&gt;&lt;item&gt;13&lt;/item&gt;&lt;item&gt;14&lt;/item&gt;&lt;/record-ids&gt;&lt;/item&gt;&lt;/Libraries&gt;"/>
  </w:docVars>
  <w:rsids>
    <w:rsidRoot w:val="00EA58F8"/>
    <w:rsid w:val="00070A1B"/>
    <w:rsid w:val="00077A38"/>
    <w:rsid w:val="000B33FC"/>
    <w:rsid w:val="000F29FD"/>
    <w:rsid w:val="0015028E"/>
    <w:rsid w:val="001A13E6"/>
    <w:rsid w:val="001D0236"/>
    <w:rsid w:val="00277CBA"/>
    <w:rsid w:val="002B1D2D"/>
    <w:rsid w:val="002E781C"/>
    <w:rsid w:val="003A5993"/>
    <w:rsid w:val="004174DF"/>
    <w:rsid w:val="00430366"/>
    <w:rsid w:val="0054509B"/>
    <w:rsid w:val="00546F2D"/>
    <w:rsid w:val="006B7F35"/>
    <w:rsid w:val="007C713D"/>
    <w:rsid w:val="007F61BC"/>
    <w:rsid w:val="008F08DE"/>
    <w:rsid w:val="008F3F95"/>
    <w:rsid w:val="00926768"/>
    <w:rsid w:val="0098250C"/>
    <w:rsid w:val="009D197E"/>
    <w:rsid w:val="00B75E06"/>
    <w:rsid w:val="00C2692F"/>
    <w:rsid w:val="00C578F8"/>
    <w:rsid w:val="00D01553"/>
    <w:rsid w:val="00D5304F"/>
    <w:rsid w:val="00DE7DE9"/>
    <w:rsid w:val="00E70141"/>
    <w:rsid w:val="00EA58F8"/>
    <w:rsid w:val="00EC5A50"/>
    <w:rsid w:val="00F016FD"/>
    <w:rsid w:val="00F01750"/>
    <w:rsid w:val="00F415B1"/>
    <w:rsid w:val="00F71126"/>
    <w:rsid w:val="00F76A64"/>
    <w:rsid w:val="00FA2851"/>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759F73"/>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D7ACE-C579-40A6-834E-8587D11E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356</TotalTime>
  <Pages>4</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School</cp:lastModifiedBy>
  <cp:revision>15</cp:revision>
  <cp:lastPrinted>2012-01-31T04:17:00Z</cp:lastPrinted>
  <dcterms:created xsi:type="dcterms:W3CDTF">2017-02-17T15:21:00Z</dcterms:created>
  <dcterms:modified xsi:type="dcterms:W3CDTF">2017-02-18T04:02:00Z</dcterms:modified>
</cp:coreProperties>
</file>