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C2692F" w:rsidRDefault="00670D46" w:rsidP="00ED155A">
      <w:pPr>
        <w:pStyle w:val="Title"/>
        <w:framePr w:wrap="notBeside"/>
      </w:pPr>
      <w:proofErr w:type="spellStart"/>
      <w:r>
        <w:t>DeepDeath</w:t>
      </w:r>
      <w:proofErr w:type="spellEnd"/>
      <w:r w:rsidRPr="00FC4DB0">
        <w:t xml:space="preserve">: </w:t>
      </w:r>
      <w:r w:rsidR="00ED155A">
        <w:t>Learning to Predict the Underlying Cause of Death with Big Data</w:t>
      </w:r>
      <w:r>
        <w:t xml:space="preserve"> </w:t>
      </w:r>
      <w:r w:rsidR="00C2692F">
        <w:t>*</w:t>
      </w:r>
    </w:p>
    <w:p w:rsidR="00670D46" w:rsidRDefault="00670D46" w:rsidP="00EE6649">
      <w:pPr>
        <w:pStyle w:val="Authors"/>
        <w:framePr w:wrap="notBeside" w:x="1614"/>
      </w:pPr>
      <w:r w:rsidRPr="00EA623D">
        <w:t xml:space="preserve">Hamid Reza </w:t>
      </w:r>
      <w:proofErr w:type="spellStart"/>
      <w:r w:rsidRPr="00EA623D">
        <w:t>Hassanzadeh</w:t>
      </w:r>
      <w:proofErr w:type="spellEnd"/>
      <w:r>
        <w:t xml:space="preserve">, </w:t>
      </w:r>
      <w:r w:rsidRPr="00EA623D">
        <w:rPr>
          <w:i/>
          <w:iCs/>
        </w:rPr>
        <w:t>Student Member, IEEE</w:t>
      </w:r>
      <w:r w:rsidRPr="00EA623D">
        <w:t xml:space="preserve">, </w:t>
      </w:r>
      <w:r>
        <w:t>Yin</w:t>
      </w:r>
      <w:r w:rsidR="00B20ED2">
        <w:t>g</w:t>
      </w:r>
      <w:r>
        <w:t xml:space="preserve"> Sha, Paula Burns, Centers for the Disease Control (CDC), and </w:t>
      </w:r>
      <w:r w:rsidRPr="00EA623D">
        <w:t>May D. Wang</w:t>
      </w:r>
      <w:r>
        <w:t xml:space="preserve">, </w:t>
      </w:r>
      <w:r>
        <w:rPr>
          <w:rStyle w:val="MemberType"/>
        </w:rPr>
        <w:t>Senior Member, IEEE</w:t>
      </w:r>
    </w:p>
    <w:p w:rsidR="00C2692F" w:rsidRDefault="00C2692F" w:rsidP="00ED155A">
      <w:pPr>
        <w:pStyle w:val="Abstract"/>
        <w:spacing w:before="0"/>
      </w:pPr>
      <w:r>
        <w:rPr>
          <w:i/>
          <w:iCs/>
        </w:rPr>
        <w:t>Abstract</w:t>
      </w:r>
      <w:r>
        <w:t>—</w:t>
      </w:r>
      <w:r w:rsidRPr="00B32A40">
        <w:t xml:space="preserve"> </w:t>
      </w:r>
      <w:r w:rsidR="00125F25">
        <w:t xml:space="preserve">Multiple cause of death data </w:t>
      </w:r>
      <w:r w:rsidR="00ED155A">
        <w:t xml:space="preserve">Learning to </w:t>
      </w:r>
      <w:proofErr w:type="spellStart"/>
      <w:r w:rsidR="001D508B">
        <w:t>to</w:t>
      </w:r>
      <w:proofErr w:type="spellEnd"/>
      <w:r w:rsidR="001D508B">
        <w:t xml:space="preserve"> the best of our knowledge this is the first deep learning pipeline.</w:t>
      </w:r>
      <w:r w:rsidR="002B5A49">
        <w:t xml:space="preserve"> We use unstructured data.</w:t>
      </w:r>
    </w:p>
    <w:p w:rsidR="00C2692F" w:rsidRDefault="00C2692F" w:rsidP="00C2692F">
      <w:pPr>
        <w:pStyle w:val="Heading1"/>
        <w:spacing w:before="120" w:after="120"/>
      </w:pPr>
      <w:r>
        <w:t>I</w:t>
      </w:r>
      <w:r>
        <w:rPr>
          <w:sz w:val="16"/>
          <w:szCs w:val="16"/>
        </w:rPr>
        <w:t>NTRODUCTION</w:t>
      </w:r>
    </w:p>
    <w:p w:rsidR="00C2692F" w:rsidRDefault="0089711C" w:rsidP="009B564E">
      <w:pPr>
        <w:pStyle w:val="BodyText"/>
      </w:pPr>
      <w:r>
        <w:t>Many of the scientific discussions and studies in biomedical and healthcare domains address tasks whose end goal is to prevent death or diseases</w:t>
      </w:r>
      <w:r w:rsidR="00C2692F" w:rsidRPr="005B520E">
        <w:t>.</w:t>
      </w:r>
      <w:r>
        <w:t xml:space="preserve"> Since the emergence of the </w:t>
      </w:r>
      <w:r w:rsidR="009B564E">
        <w:t>b</w:t>
      </w:r>
      <w:r>
        <w:t xml:space="preserve">ig </w:t>
      </w:r>
      <w:r w:rsidR="009B564E">
        <w:t>d</w:t>
      </w:r>
      <w:r>
        <w:t>ata science, numerous machine learning based techniques and technologies h</w:t>
      </w:r>
      <w:r w:rsidR="00C52B62">
        <w:t xml:space="preserve">ave been proposed and applied to improve human health by solving different computational challenges that we face today. </w:t>
      </w:r>
      <w:r w:rsidR="00075500">
        <w:t xml:space="preserve">A less obvious question </w:t>
      </w:r>
      <w:r w:rsidR="009B564E">
        <w:t xml:space="preserve">for the researcher that </w:t>
      </w:r>
      <w:r w:rsidR="009B564E">
        <w:t>remains to be extensively explored</w:t>
      </w:r>
      <w:r w:rsidR="00075500">
        <w:t xml:space="preserve"> is </w:t>
      </w:r>
      <w:r w:rsidR="009B564E">
        <w:t xml:space="preserve">that </w:t>
      </w:r>
      <w:r w:rsidR="00075500">
        <w:t xml:space="preserve">whether </w:t>
      </w:r>
      <w:r w:rsidR="009B564E">
        <w:t xml:space="preserve">big data science </w:t>
      </w:r>
      <w:r w:rsidR="00075500">
        <w:t>can contribute to our understanding of factors leading to death or diseases</w:t>
      </w:r>
      <w:r w:rsidR="009B564E">
        <w:t xml:space="preserve"> via analysis of multiple-cause mortality data. I</w:t>
      </w:r>
      <w:r w:rsidR="00E672EC">
        <w:t xml:space="preserve">n fact </w:t>
      </w:r>
      <w:r w:rsidR="00C049A9">
        <w:t xml:space="preserve">it is widely believed that </w:t>
      </w:r>
      <w:r w:rsidR="00E672EC">
        <w:t xml:space="preserve">counting the dead is a significant investment to reduce </w:t>
      </w:r>
      <w:r w:rsidR="00727DD1">
        <w:t xml:space="preserve">the </w:t>
      </w:r>
      <w:r w:rsidR="00E672EC">
        <w:t xml:space="preserve">premature mortality </w:t>
      </w:r>
      <w:r w:rsidR="00C049A9">
        <w:fldChar w:fldCharType="begin"/>
      </w:r>
      <w:r w:rsidR="00C049A9">
        <w:instrText xml:space="preserve"> ADDIN EN.CITE &lt;EndNote&gt;&lt;Cite&gt;&lt;Author&gt;Jha&lt;/Author&gt;&lt;Year&gt;2012&lt;/Year&gt;&lt;RecNum&gt;6&lt;/RecNum&gt;&lt;DisplayText&gt;[1]&lt;/DisplayText&gt;&lt;record&gt;&lt;rec-number&gt;6&lt;/rec-number&gt;&lt;foreign-keys&gt;&lt;key app="EN" db-id="50dw0529c5affuex222psr0cdp522000ea50" timestamp="1487092736"&gt;6&lt;/key&gt;&lt;/foreign-keys&gt;&lt;ref-type name="Journal Article"&gt;17&lt;/ref-type&gt;&lt;contributors&gt;&lt;authors&gt;&lt;author&gt;Jha, Prabhat&lt;/author&gt;&lt;/authors&gt;&lt;/contributors&gt;&lt;titles&gt;&lt;title&gt;Counting the dead is one of the world’s best investments to reduce premature mortality&lt;/title&gt;&lt;secondary-title&gt;Hypothesis&lt;/secondary-title&gt;&lt;/titles&gt;&lt;periodical&gt;&lt;full-title&gt;Hypothesis&lt;/full-title&gt;&lt;/periodical&gt;&lt;pages&gt;e3&lt;/pages&gt;&lt;volume&gt;10&lt;/volume&gt;&lt;number&gt;1&lt;/number&gt;&lt;dates&gt;&lt;year&gt;2012&lt;/year&gt;&lt;/dates&gt;&lt;urls&gt;&lt;/urls&gt;&lt;/record&gt;&lt;/Cite&gt;&lt;/EndNote&gt;</w:instrText>
      </w:r>
      <w:r w:rsidR="00C049A9">
        <w:fldChar w:fldCharType="separate"/>
      </w:r>
      <w:r w:rsidR="00C049A9">
        <w:rPr>
          <w:noProof/>
        </w:rPr>
        <w:t>[1]</w:t>
      </w:r>
      <w:r w:rsidR="00C049A9">
        <w:fldChar w:fldCharType="end"/>
      </w:r>
      <w:r w:rsidR="00075500">
        <w:t xml:space="preserve">. </w:t>
      </w:r>
      <w:r w:rsidR="00727DD1">
        <w:t xml:space="preserve">To this end, </w:t>
      </w:r>
      <w:r w:rsidR="00075500">
        <w:t>there has been a number of studies [</w:t>
      </w:r>
      <w:r w:rsidR="00075500" w:rsidRPr="00075500">
        <w:rPr>
          <w:color w:val="FF0000"/>
        </w:rPr>
        <w:t>some references</w:t>
      </w:r>
      <w:r w:rsidR="00075500">
        <w:t xml:space="preserve">] that have proven to offer profound impacts on our understanding of the major causes of </w:t>
      </w:r>
      <w:bookmarkStart w:id="0" w:name="_GoBack"/>
      <w:bookmarkEnd w:id="0"/>
      <w:r w:rsidR="00075500">
        <w:t xml:space="preserve">death </w:t>
      </w:r>
      <w:r w:rsidR="00E672EC">
        <w:t>from</w:t>
      </w:r>
      <w:r w:rsidR="00075500">
        <w:t xml:space="preserve"> statistical analysis of </w:t>
      </w:r>
      <w:r w:rsidR="00A57859">
        <w:t>death data</w:t>
      </w:r>
      <w:r w:rsidR="00075500">
        <w:t xml:space="preserve">. </w:t>
      </w:r>
      <w:r w:rsidR="00727DD1">
        <w:t>In light of that,</w:t>
      </w:r>
      <w:r w:rsidR="00C049A9">
        <w:t xml:space="preserve"> </w:t>
      </w:r>
      <w:r w:rsidR="00727DD1">
        <w:t xml:space="preserve">we were interested to explore what </w:t>
      </w:r>
      <w:r w:rsidR="00C049A9">
        <w:t>big data science</w:t>
      </w:r>
      <w:r w:rsidR="00727DD1">
        <w:t>, and deep learning in particular,</w:t>
      </w:r>
      <w:r w:rsidR="00C049A9">
        <w:t xml:space="preserve"> </w:t>
      </w:r>
      <w:r w:rsidR="00727DD1">
        <w:t xml:space="preserve">can offer by learning hidden complex patterns that are available in the haystack of mortality datasets. </w:t>
      </w:r>
    </w:p>
    <w:p w:rsidR="00125F25" w:rsidRPr="00630718" w:rsidRDefault="00125F25" w:rsidP="00C049A9">
      <w:pPr>
        <w:pStyle w:val="BodyText"/>
      </w:pPr>
      <w:r>
        <w:t xml:space="preserve">Multiple cause of death data </w:t>
      </w:r>
      <w:r w:rsidR="0074193C">
        <w:t>provides</w:t>
      </w:r>
      <w:r>
        <w:t xml:space="preserve"> a valuable source of </w:t>
      </w:r>
      <w:r w:rsidR="00DE6A82">
        <w:t>information</w:t>
      </w:r>
      <w:r>
        <w:t xml:space="preserve"> that can be used </w:t>
      </w:r>
      <w:r w:rsidR="0074193C">
        <w:t xml:space="preserve">to </w:t>
      </w:r>
      <w:r>
        <w:t xml:space="preserve">analyze death trends in </w:t>
      </w:r>
      <w:r w:rsidR="0074193C">
        <w:t>chr</w:t>
      </w:r>
      <w:r w:rsidR="00662532">
        <w:t>o</w:t>
      </w:r>
      <w:r w:rsidR="0074193C">
        <w:t>nic</w:t>
      </w:r>
      <w:r>
        <w:t xml:space="preserve"> disease such as HIV </w:t>
      </w:r>
      <w:r>
        <w:fldChar w:fldCharType="begin"/>
      </w:r>
      <w:r w:rsidR="00C049A9">
        <w:instrText xml:space="preserve"> ADDIN EN.CITE &lt;EndNote&gt;&lt;Cite&gt;&lt;Author&gt;Chorba&lt;/Author&gt;&lt;Year&gt;2001&lt;/Year&gt;&lt;RecNum&gt;2&lt;/RecNum&gt;&lt;DisplayText&gt;[2, 3]&lt;/DisplayText&gt;&lt;record&gt;&lt;rec-number&gt;2&lt;/rec-number&gt;&lt;foreign-keys&gt;&lt;key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sidR="00C049A9">
        <w:rPr>
          <w:rFonts w:hint="eastAsia"/>
        </w:rPr>
        <w:instrText>r&gt;Clarke, MJ&lt;/author&gt;&lt;author&gt;Chorba, Terence L&lt;/author&gt;&lt;/authors&gt;&lt;/contributors&gt;&lt;titles&gt;&lt;title&gt;Trends in non</w:instrText>
      </w:r>
      <w:r w:rsidR="00C049A9">
        <w:rPr>
          <w:rFonts w:hint="eastAsia"/>
        </w:rPr>
        <w:instrText>‐</w:instrText>
      </w:r>
      <w:r w:rsidR="00C049A9">
        <w:rPr>
          <w:rFonts w:hint="eastAsia"/>
        </w:rPr>
        <w:instrText>hodgkin lymphoma (NHL) and HIV</w:instrText>
      </w:r>
      <w:r w:rsidR="00C049A9">
        <w:rPr>
          <w:rFonts w:hint="eastAsia"/>
        </w:rPr>
        <w:instrText>‐</w:instrText>
      </w:r>
      <w:r w:rsidR="00C049A9">
        <w:rPr>
          <w:rFonts w:hint="eastAsia"/>
        </w:rPr>
        <w:instrText>associated NHL deaths in the United States&lt;/title&gt;&lt;secondary-title&gt;American journal of hematology&lt;/secondary-title&gt;</w:instrText>
      </w:r>
      <w:r w:rsidR="00C049A9">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sidR="00C049A9">
        <w:rPr>
          <w:noProof/>
        </w:rPr>
        <w:t>[2, 3]</w:t>
      </w:r>
      <w:r>
        <w:fldChar w:fldCharType="end"/>
      </w:r>
      <w:r w:rsidR="00630718">
        <w:t xml:space="preserve"> and</w:t>
      </w:r>
      <w:r>
        <w:t xml:space="preserve"> lung disease </w:t>
      </w:r>
      <w:r>
        <w:fldChar w:fldCharType="begin"/>
      </w:r>
      <w:r w:rsidR="00C049A9">
        <w:instrText xml:space="preserve"> ADDIN EN.CITE &lt;EndNote&gt;&lt;Cite&gt;&lt;Author&gt;Mannino&lt;/Author&gt;&lt;Year&gt;1997&lt;/Year&gt;&lt;RecNum&gt;4&lt;/RecNum&gt;&lt;DisplayText&gt;[4]&lt;/DisplayText&gt;&lt;record&gt;&lt;rec-number&gt;4&lt;/rec-number&gt;&lt;foreign-keys&gt;&lt;key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sidR="00C049A9">
        <w:rPr>
          <w:noProof/>
        </w:rPr>
        <w:t>[4]</w:t>
      </w:r>
      <w:r>
        <w:fldChar w:fldCharType="end"/>
      </w:r>
      <w:r w:rsidR="00630718">
        <w:t>,</w:t>
      </w:r>
      <w:r w:rsidR="00662532">
        <w:t xml:space="preserve"> disease diffusion [</w:t>
      </w:r>
      <w:r w:rsidR="00662532">
        <w:rPr>
          <w:color w:val="FF0000"/>
        </w:rPr>
        <w:t>mention some reference</w:t>
      </w:r>
      <w:r w:rsidR="00662532">
        <w:t xml:space="preserve">], </w:t>
      </w:r>
      <w:r w:rsidR="00292756">
        <w:t>to provide better understanding of multi-morbid associations between conditions leading to death</w:t>
      </w:r>
      <w:r w:rsidR="00DE6A82">
        <w:t xml:space="preserve"> [</w:t>
      </w:r>
      <w:r w:rsidR="00DE6A82">
        <w:rPr>
          <w:color w:val="FF0000"/>
        </w:rPr>
        <w:t>reference]</w:t>
      </w:r>
      <w:r w:rsidR="00DE6A82">
        <w:t xml:space="preserve">, </w:t>
      </w:r>
      <w:r w:rsidR="00630718">
        <w:t xml:space="preserve"> [</w:t>
      </w:r>
      <w:r w:rsidR="00630718">
        <w:rPr>
          <w:color w:val="FF0000"/>
        </w:rPr>
        <w:t>mention other applications and references</w:t>
      </w:r>
      <w:r w:rsidR="00630718">
        <w:t>]</w:t>
      </w:r>
      <w:r w:rsidR="00DE6A82">
        <w:t xml:space="preserve">, and to identify problems with the process of coding and recording cause of death information </w:t>
      </w:r>
      <w:r w:rsidR="00C34019">
        <w:fldChar w:fldCharType="begin"/>
      </w:r>
      <w:r w:rsidR="00C049A9">
        <w:instrText xml:space="preserve"> ADDIN EN.CITE &lt;EndNote&gt;&lt;Cite&gt;&lt;Author&gt;Gordon&lt;/Author&gt;&lt;Year&gt;2003&lt;/Year&gt;&lt;RecNum&gt;5&lt;/RecNum&gt;&lt;DisplayText&gt;[5]&lt;/DisplayText&gt;&lt;record&gt;&lt;rec-number&gt;5&lt;/rec-number&gt;&lt;foreign-keys&gt;&lt;key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rsidR="00C34019">
        <w:fldChar w:fldCharType="separate"/>
      </w:r>
      <w:r w:rsidR="00C049A9">
        <w:rPr>
          <w:noProof/>
        </w:rPr>
        <w:t>[5]</w:t>
      </w:r>
      <w:r w:rsidR="00C34019">
        <w:fldChar w:fldCharType="end"/>
      </w:r>
      <w:r w:rsidR="0074193C">
        <w:t>.</w:t>
      </w:r>
      <w:r w:rsidR="00234278">
        <w:t xml:space="preserve"> As such, </w:t>
      </w:r>
      <w:r w:rsidR="00662532">
        <w:t>designing advanced analytics pipelines for discovering descriptive</w:t>
      </w:r>
      <w:r w:rsidR="00234278">
        <w:t xml:space="preserve"> statistics and trajectories </w:t>
      </w:r>
      <w:r w:rsidR="00292756">
        <w:t>is highly [</w:t>
      </w:r>
      <w:r w:rsidR="00292756" w:rsidRPr="00292756">
        <w:rPr>
          <w:color w:val="FF0000"/>
        </w:rPr>
        <w:t>some verb!</w:t>
      </w:r>
      <w:r w:rsidR="00292756">
        <w:t xml:space="preserve">]. </w:t>
      </w:r>
      <w:r w:rsidR="00D56346">
        <w:t xml:space="preserve">The sheer amount of available data from recorded death certificate data, makes them suitable for big-data analysis </w:t>
      </w:r>
      <w:r w:rsidR="005F474E">
        <w:t>techniques but at the same time pose</w:t>
      </w:r>
      <w:r w:rsidR="00234278">
        <w:t xml:space="preserve"> </w:t>
      </w:r>
      <w:r w:rsidR="005F474E">
        <w:t xml:space="preserve">some key </w:t>
      </w:r>
      <w:r w:rsidR="00234278">
        <w:t>challenges.</w:t>
      </w:r>
      <w:r w:rsidR="005F474E">
        <w:t xml:space="preserve"> In particular, the mortality multiple-</w:t>
      </w:r>
      <w:proofErr w:type="gramStart"/>
      <w:r w:rsidR="005F474E">
        <w:t>cause</w:t>
      </w:r>
      <w:proofErr w:type="gramEnd"/>
      <w:r w:rsidR="005F474E">
        <w:t xml:space="preserve"> data is unstructured and can be inaccurate due to several reasons [</w:t>
      </w:r>
      <w:r w:rsidR="005F474E">
        <w:rPr>
          <w:color w:val="FF0000"/>
        </w:rPr>
        <w:t>a good reference that describes the reasons for inaccurate entries</w:t>
      </w:r>
      <w:r w:rsidR="005F474E">
        <w:t>]</w:t>
      </w:r>
      <w:r w:rsidR="00BF4140">
        <w:t xml:space="preserve">. Moreover, </w:t>
      </w:r>
      <w:r w:rsidR="00C8432F">
        <w:t>the high number of ICD-9/10 mortality codes make analysis of multiple-cause associations even more challenging.</w:t>
      </w:r>
      <w:r w:rsidR="005F474E">
        <w:t xml:space="preserve"> </w:t>
      </w:r>
      <w:r w:rsidR="00D91B36">
        <w:t>This altogether, calls for advanced techniques for mining in large datasets of unstructured, high dimensional, and noisy environment.</w:t>
      </w:r>
    </w:p>
    <w:p w:rsidR="007C4E9B" w:rsidRDefault="007C4E9B" w:rsidP="00C049A9">
      <w:pPr>
        <w:pStyle w:val="BodyText"/>
      </w:pPr>
      <w:r>
        <w:t xml:space="preserve">Despite the importance of the subject, only a handful of researches have </w:t>
      </w:r>
      <w:r w:rsidR="0076589B">
        <w:t xml:space="preserve">so far </w:t>
      </w:r>
      <w:r>
        <w:t xml:space="preserve">conducted </w:t>
      </w:r>
      <w:r w:rsidR="0076589B">
        <w:t>studies in which the sought</w:t>
      </w:r>
      <w:r>
        <w:t xml:space="preserve"> to relate multiple causes of death to other factors. These studies are often restricted to </w:t>
      </w:r>
      <w:r w:rsidR="00EA1AA2">
        <w:t xml:space="preserve">classical statistical </w:t>
      </w:r>
      <w:r>
        <w:t xml:space="preserve">methods that </w:t>
      </w:r>
      <w:r w:rsidR="00EA1AA2">
        <w:t xml:space="preserve">can be put into four categories </w:t>
      </w:r>
      <w:r w:rsidR="00C02DBE">
        <w:fldChar w:fldCharType="begin"/>
      </w:r>
      <w:r w:rsidR="00C049A9">
        <w:instrText xml:space="preserve"> ADDIN EN.CITE &lt;EndNote&gt;&lt;Cite&gt;&lt;Author&gt;Bah&lt;/Author&gt;&lt;Year&gt;2009&lt;/Year&gt;&lt;RecNum&gt;1&lt;/RecNum&gt;&lt;DisplayText&gt;[6]&lt;/DisplayText&gt;&lt;record&gt;&lt;rec-number&gt;1&lt;/rec-number&gt;&lt;foreign-keys&gt;&lt;key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rsidR="00C02DBE">
        <w:fldChar w:fldCharType="separate"/>
      </w:r>
      <w:r w:rsidR="00C049A9">
        <w:rPr>
          <w:noProof/>
        </w:rPr>
        <w:t>[6]</w:t>
      </w:r>
      <w:r w:rsidR="00C02DBE">
        <w:fldChar w:fldCharType="end"/>
      </w:r>
      <w:r w:rsidR="00B344FB">
        <w:t xml:space="preserve">: 1) Univariate measures, consisting of counts and frequencies, 2) cross-tabular measures, </w:t>
      </w:r>
      <w:r w:rsidR="00783948">
        <w:t xml:space="preserve">which incorporate variables that identify the roles (e.g. contributory, non-contributory, complication and underlying) associated with </w:t>
      </w:r>
      <w:r w:rsidR="00FD6318">
        <w:t>multiple death causes, 3) measures of association</w:t>
      </w:r>
      <w:r w:rsidR="00136D74">
        <w:t>,</w:t>
      </w:r>
      <w:r w:rsidR="00FD6318">
        <w:t xml:space="preserve"> </w:t>
      </w:r>
      <w:r w:rsidR="00136D74">
        <w:t>in which some measure of multiple mentions of a cause is related to some measure of m</w:t>
      </w:r>
      <w:r w:rsidR="00096437">
        <w:t>entions of the underlying cause; and finally, 4) derived measures, where univariate measures such as multiple-cause rates are integrated to build higher order models.</w:t>
      </w:r>
      <w:r w:rsidR="007B72F8">
        <w:t xml:space="preserve"> </w:t>
      </w:r>
    </w:p>
    <w:p w:rsidR="00EA1AA2" w:rsidRDefault="007B72F8" w:rsidP="0052189F">
      <w:pPr>
        <w:pStyle w:val="BodyText"/>
      </w:pPr>
      <w:r>
        <w:t xml:space="preserve">In this study, we present an </w:t>
      </w:r>
      <w:r w:rsidR="00B04C18">
        <w:t xml:space="preserve">exploratory analysis </w:t>
      </w:r>
      <w:r>
        <w:t xml:space="preserve">that is well positioned in a </w:t>
      </w:r>
      <w:r w:rsidR="00B04C18">
        <w:t>fifth group</w:t>
      </w:r>
      <w:r>
        <w:t>,</w:t>
      </w:r>
      <w:r w:rsidR="00B04C18">
        <w:t xml:space="preserve"> </w:t>
      </w:r>
      <w:r>
        <w:t xml:space="preserve">by </w:t>
      </w:r>
      <w:r w:rsidR="00B04C18">
        <w:t>build</w:t>
      </w:r>
      <w:r>
        <w:t>ing</w:t>
      </w:r>
      <w:r w:rsidR="00B04C18">
        <w:t xml:space="preserve"> upon </w:t>
      </w:r>
      <w:r>
        <w:t>both the third and the fourth categories</w:t>
      </w:r>
      <w:r w:rsidR="00B04C18">
        <w:t xml:space="preserve"> </w:t>
      </w:r>
      <w:r>
        <w:t>above, and utilizing advanced machine learning approaches.</w:t>
      </w:r>
      <w:r w:rsidR="007C4E9B">
        <w:t xml:space="preserve"> </w:t>
      </w:r>
      <w:r w:rsidR="00F506B1">
        <w:t xml:space="preserve">Specifically, we propose two different categories models, namely, shallow learners to learn mono/bi-gram features derived from the multiple-cause data which we trained over Hadoop using the </w:t>
      </w:r>
      <w:r w:rsidR="00EA0088">
        <w:t xml:space="preserve">MapReduce programming model as well as a deep recurrent neural network that learns the dynamics of the </w:t>
      </w:r>
      <w:r w:rsidR="0011508F">
        <w:t xml:space="preserve">morbidity chains </w:t>
      </w:r>
      <w:r w:rsidR="00EA0088">
        <w:t xml:space="preserve">efficiently. </w:t>
      </w:r>
      <w:r w:rsidR="00BD5212">
        <w:t>The rest of the paper is organized as follows. In section II we detail the describe the data format as well as the challenges that we face when dealing with it. Then we detail the shallow learners that we train over the Hadoop framework. We also present our deep model in the same section and our motivation to resort to deep</w:t>
      </w:r>
      <w:r w:rsidR="007B1CA9">
        <w:t xml:space="preserve"> </w:t>
      </w:r>
      <w:r w:rsidR="00BD5212">
        <w:t>learning.</w:t>
      </w:r>
      <w:r w:rsidR="007B1CA9">
        <w:t xml:space="preserve"> Next, in section III, we compare and contrast the aforementioned models through different experiments and show that our deep model can model the data more efficiently and finally in section IV, we </w:t>
      </w:r>
      <w:r w:rsidR="0052189F">
        <w:t>conclude the paper and shed light on future directions we would like to pursue.</w:t>
      </w:r>
    </w:p>
    <w:p w:rsidR="007C4E9B" w:rsidRPr="005B520E" w:rsidRDefault="007C4E9B" w:rsidP="007B72F8">
      <w:pPr>
        <w:pStyle w:val="BodyText"/>
      </w:pPr>
    </w:p>
    <w:p w:rsidR="00C2692F" w:rsidRDefault="00593C60" w:rsidP="00C2692F">
      <w:pPr>
        <w:pStyle w:val="Heading1"/>
        <w:spacing w:before="120" w:after="120"/>
      </w:pPr>
      <w:r>
        <w:t xml:space="preserve">Materials and </w:t>
      </w:r>
      <w:r w:rsidR="007C431A">
        <w:t>Methods</w:t>
      </w:r>
    </w:p>
    <w:p w:rsidR="00B20ED2" w:rsidRPr="00B20ED2" w:rsidRDefault="00B20ED2" w:rsidP="00B20ED2">
      <w:proofErr w:type="spellStart"/>
      <w:r>
        <w:t>xxxx</w:t>
      </w:r>
      <w:proofErr w:type="spellEnd"/>
    </w:p>
    <w:p w:rsidR="00593C60" w:rsidRDefault="00593C60" w:rsidP="00593C60">
      <w:pPr>
        <w:pStyle w:val="Heading2"/>
      </w:pPr>
      <w:r>
        <w:lastRenderedPageBreak/>
        <w:t>Data source</w:t>
      </w:r>
    </w:p>
    <w:p w:rsidR="00593C60" w:rsidRDefault="00593C60" w:rsidP="007C4E9B">
      <w:r>
        <w:t xml:space="preserve">We used </w:t>
      </w:r>
      <w:r w:rsidR="007C4E9B">
        <w:t xml:space="preserve">mortality </w:t>
      </w:r>
      <w:r>
        <w:t xml:space="preserve">data published by the United States National Center for Health Statistics </w:t>
      </w:r>
      <w:r w:rsidR="007C4E9B">
        <w:t xml:space="preserve">(NCHS) </w:t>
      </w:r>
      <w:r>
        <w:t>which is available to public.</w:t>
      </w:r>
    </w:p>
    <w:p w:rsidR="006C0286" w:rsidRPr="00593C60" w:rsidRDefault="006C0286" w:rsidP="007C4E9B"/>
    <w:p w:rsidR="00C2692F" w:rsidRDefault="00C2692F" w:rsidP="00ED211D">
      <w:pPr>
        <w:pStyle w:val="Heading2"/>
        <w:keepLines/>
        <w:numPr>
          <w:ilvl w:val="1"/>
          <w:numId w:val="0"/>
        </w:numPr>
        <w:tabs>
          <w:tab w:val="num" w:pos="360"/>
        </w:tabs>
        <w:autoSpaceDE/>
        <w:autoSpaceDN/>
        <w:ind w:left="288" w:hanging="288"/>
      </w:pPr>
      <w:r>
        <w:t>A.</w:t>
      </w:r>
      <w:r>
        <w:tab/>
      </w:r>
      <w:r w:rsidR="00ED211D">
        <w:t>Explanation of the first non-deep approach</w:t>
      </w:r>
    </w:p>
    <w:p w:rsidR="001738EB" w:rsidRDefault="001738EB" w:rsidP="001738EB">
      <w:pPr>
        <w:pStyle w:val="BodyText"/>
      </w:pPr>
      <w:r>
        <w:t>TBF out</w:t>
      </w:r>
    </w:p>
    <w:p w:rsidR="00C2692F" w:rsidRPr="005B520E" w:rsidRDefault="00C2692F" w:rsidP="001738EB">
      <w:pPr>
        <w:pStyle w:val="BodyText"/>
        <w:ind w:firstLine="0"/>
      </w:pPr>
    </w:p>
    <w:p w:rsidR="00C2692F" w:rsidRPr="005B520E" w:rsidRDefault="002C53A2" w:rsidP="00ED211D">
      <w:pPr>
        <w:pStyle w:val="Heading2"/>
        <w:keepLines/>
        <w:numPr>
          <w:ilvl w:val="1"/>
          <w:numId w:val="0"/>
        </w:numPr>
        <w:tabs>
          <w:tab w:val="num" w:pos="360"/>
        </w:tabs>
        <w:autoSpaceDE/>
        <w:autoSpaceDN/>
        <w:ind w:left="288" w:hanging="288"/>
      </w:pPr>
      <w:r>
        <w:rPr>
          <w:noProof/>
          <w:lang w:eastAsia="zh-TW"/>
        </w:rPr>
        <mc:AlternateContent>
          <mc:Choice Requires="wps">
            <w:drawing>
              <wp:anchor distT="0" distB="0" distL="114300" distR="114300" simplePos="0" relativeHeight="251657728" behindDoc="1" locked="0" layoutInCell="1" allowOverlap="1" wp14:anchorId="5017EE5A" wp14:editId="411FD946">
                <wp:simplePos x="0" y="0"/>
                <wp:positionH relativeFrom="column">
                  <wp:posOffset>999490</wp:posOffset>
                </wp:positionH>
                <wp:positionV relativeFrom="paragraph">
                  <wp:posOffset>182245</wp:posOffset>
                </wp:positionV>
                <wp:extent cx="4196080" cy="3267710"/>
                <wp:effectExtent l="0" t="0" r="13970" b="27940"/>
                <wp:wrapTight wrapText="bothSides">
                  <wp:wrapPolygon edited="0">
                    <wp:start x="0" y="0"/>
                    <wp:lineTo x="0" y="21659"/>
                    <wp:lineTo x="21574" y="21659"/>
                    <wp:lineTo x="21574"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6080" cy="3267710"/>
                        </a:xfrm>
                        <a:prstGeom prst="rect">
                          <a:avLst/>
                        </a:prstGeom>
                        <a:solidFill>
                          <a:srgbClr val="FFFFFF"/>
                        </a:solidFill>
                        <a:ln w="9525">
                          <a:solidFill>
                            <a:srgbClr val="000000"/>
                          </a:solidFill>
                          <a:miter lim="800000"/>
                          <a:headEnd/>
                          <a:tailEnd/>
                        </a:ln>
                      </wps:spPr>
                      <wps:txbx>
                        <w:txbxContent>
                          <w:p w:rsidR="002C53A2" w:rsidRDefault="002C53A2" w:rsidP="002C53A2">
                            <w:pPr>
                              <w:pStyle w:val="figurecaption0"/>
                              <w:tabs>
                                <w:tab w:val="num" w:pos="720"/>
                              </w:tabs>
                            </w:pPr>
                            <w:r>
                              <w:t xml:space="preserve">Figure </w:t>
                            </w:r>
                            <w:r>
                              <w:fldChar w:fldCharType="begin"/>
                            </w:r>
                            <w:r>
                              <w:instrText xml:space="preserve"> SEQ Figure \* ARABIC </w:instrText>
                            </w:r>
                            <w:r>
                              <w:fldChar w:fldCharType="separate"/>
                            </w:r>
                            <w:r>
                              <w:t>1</w:t>
                            </w:r>
                            <w:r>
                              <w:fldChar w:fldCharType="end"/>
                            </w:r>
                            <w:r w:rsidRPr="00F73F08">
                              <w:t>: The block diagram of DeepDeath</w:t>
                            </w:r>
                          </w:p>
                          <w:p w:rsidR="00C2692F" w:rsidRDefault="00DE7350" w:rsidP="002C53A2">
                            <w:pPr>
                              <w:pStyle w:val="figurecaption0"/>
                              <w:tabs>
                                <w:tab w:val="num" w:pos="720"/>
                              </w:tabs>
                              <w:jc w:val="left"/>
                            </w:pPr>
                            <w:r w:rsidRPr="00DE7350">
                              <w:rPr>
                                <w:lang w:eastAsia="zh-TW"/>
                              </w:rPr>
                              <w:drawing>
                                <wp:inline distT="0" distB="0" distL="0" distR="0" wp14:anchorId="4F8E205B" wp14:editId="1A7C21C5">
                                  <wp:extent cx="4101153" cy="2883460"/>
                                  <wp:effectExtent l="0" t="0" r="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1153" cy="28834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7EE5A" id="_x0000_t202" coordsize="21600,21600" o:spt="202" path="m,l,21600r21600,l21600,xe">
                <v:stroke joinstyle="miter"/>
                <v:path gradientshapeok="t" o:connecttype="rect"/>
              </v:shapetype>
              <v:shape id="Text Box 8" o:spid="_x0000_s1026" type="#_x0000_t202" style="position:absolute;left:0;text-align:left;margin-left:78.7pt;margin-top:14.35pt;width:330.4pt;height:257.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xlLQIAAFEEAAAOAAAAZHJzL2Uyb0RvYy54bWysVNuO0zAQfUfiHyy/0ySl7bZ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">
                <v:textbox>
                  <w:txbxContent>
                    <w:p w:rsidR="002C53A2" w:rsidRDefault="002C53A2" w:rsidP="002C53A2">
                      <w:pPr>
                        <w:pStyle w:val="figurecaption0"/>
                        <w:tabs>
                          <w:tab w:val="num" w:pos="720"/>
                        </w:tabs>
                      </w:pPr>
                      <w:r>
                        <w:t xml:space="preserve">Figure </w:t>
                      </w:r>
                      <w:r>
                        <w:fldChar w:fldCharType="begin"/>
                      </w:r>
                      <w:r>
                        <w:instrText xml:space="preserve"> SEQ Figure \* ARABIC </w:instrText>
                      </w:r>
                      <w:r>
                        <w:fldChar w:fldCharType="separate"/>
                      </w:r>
                      <w:r>
                        <w:t>1</w:t>
                      </w:r>
                      <w:r>
                        <w:fldChar w:fldCharType="end"/>
                      </w:r>
                      <w:r w:rsidRPr="00F73F08">
                        <w:t>: The block diagram of DeepDeath</w:t>
                      </w:r>
                    </w:p>
                    <w:p w:rsidR="00C2692F" w:rsidRDefault="00DE7350" w:rsidP="002C53A2">
                      <w:pPr>
                        <w:pStyle w:val="figurecaption0"/>
                        <w:tabs>
                          <w:tab w:val="num" w:pos="720"/>
                        </w:tabs>
                        <w:jc w:val="left"/>
                      </w:pPr>
                      <w:r w:rsidRPr="00DE7350">
                        <w:rPr>
                          <w:lang w:eastAsia="zh-TW"/>
                        </w:rPr>
                        <w:drawing>
                          <wp:inline distT="0" distB="0" distL="0" distR="0" wp14:anchorId="4F8E205B" wp14:editId="1A7C21C5">
                            <wp:extent cx="4101153" cy="2883460"/>
                            <wp:effectExtent l="0" t="0" r="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1153" cy="2883460"/>
                                    </a:xfrm>
                                    <a:prstGeom prst="rect">
                                      <a:avLst/>
                                    </a:prstGeom>
                                    <a:noFill/>
                                    <a:ln>
                                      <a:noFill/>
                                    </a:ln>
                                  </pic:spPr>
                                </pic:pic>
                              </a:graphicData>
                            </a:graphic>
                          </wp:inline>
                        </w:drawing>
                      </w:r>
                    </w:p>
                  </w:txbxContent>
                </v:textbox>
                <w10:wrap type="tight"/>
              </v:shape>
            </w:pict>
          </mc:Fallback>
        </mc:AlternateContent>
      </w:r>
      <w:r w:rsidR="00C2692F">
        <w:t>B.</w:t>
      </w:r>
      <w:r w:rsidR="00C2692F">
        <w:tab/>
      </w:r>
      <w:proofErr w:type="spellStart"/>
      <w:r w:rsidR="00ED211D">
        <w:t>DeepDeath</w:t>
      </w:r>
      <w:proofErr w:type="spellEnd"/>
    </w:p>
    <w:p w:rsidR="00C2692F" w:rsidRDefault="001738EB" w:rsidP="00C2692F">
      <w:pPr>
        <w:pStyle w:val="BodyText"/>
      </w:pPr>
      <w:r>
        <w:t>TBF out</w:t>
      </w:r>
    </w:p>
    <w:p w:rsidR="00C2692F" w:rsidRDefault="001738EB" w:rsidP="00C2692F">
      <w:pPr>
        <w:pStyle w:val="Heading1"/>
        <w:spacing w:before="120" w:after="120"/>
      </w:pPr>
      <w:r>
        <w:t>Results</w:t>
      </w:r>
    </w:p>
    <w:p w:rsidR="005762BD" w:rsidRDefault="005762BD" w:rsidP="005762BD">
      <w:r>
        <w:t>One paragraph about the data and the filtering criteria.</w:t>
      </w:r>
    </w:p>
    <w:p w:rsidR="001738EB" w:rsidRPr="001738EB" w:rsidRDefault="001738EB" w:rsidP="001738EB">
      <w:r>
        <w:t>First explain the NCHS data.</w:t>
      </w:r>
    </w:p>
    <w:p w:rsidR="001738EB" w:rsidRPr="001738EB" w:rsidRDefault="001738EB" w:rsidP="001738EB"/>
    <w:p w:rsidR="00C2692F" w:rsidRDefault="00C2692F" w:rsidP="00C2692F">
      <w:pPr>
        <w:pStyle w:val="Heading3"/>
        <w:keepNext w:val="0"/>
        <w:numPr>
          <w:ilvl w:val="2"/>
          <w:numId w:val="0"/>
        </w:numPr>
        <w:tabs>
          <w:tab w:val="num" w:pos="540"/>
        </w:tabs>
        <w:autoSpaceDE/>
        <w:autoSpaceDN/>
        <w:spacing w:line="240" w:lineRule="exact"/>
        <w:ind w:firstLine="180"/>
        <w:jc w:val="both"/>
      </w:pPr>
    </w:p>
    <w:p w:rsidR="00C2692F" w:rsidRPr="005B520E" w:rsidRDefault="004711BD" w:rsidP="00C2692F">
      <w:pPr>
        <w:pStyle w:val="tablehead"/>
      </w:pPr>
      <w:r>
        <w:t>Sample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C2692F" w:rsidP="00C2692F">
      <w:pPr>
        <w:pStyle w:val="figurecaption0"/>
      </w:pPr>
      <w:r>
        <w:t xml:space="preserve">Example of a figure </w:t>
      </w:r>
      <w:r w:rsidRPr="005B520E">
        <w:t>caption</w:t>
      </w:r>
      <w:r>
        <w:t xml:space="preserve">. </w:t>
      </w:r>
      <w:r>
        <w:rPr>
          <w:i/>
          <w:iCs/>
        </w:rPr>
        <w:t>(figure caption)</w:t>
      </w:r>
    </w:p>
    <w:p w:rsidR="007F61BC" w:rsidRDefault="007F61BC" w:rsidP="00C2692F">
      <w:pPr>
        <w:pStyle w:val="Text"/>
      </w:pPr>
    </w:p>
    <w:p w:rsidR="00C2692F" w:rsidRDefault="00C2692F" w:rsidP="00C2692F">
      <w:pPr>
        <w:pStyle w:val="Text"/>
      </w:pPr>
    </w:p>
    <w:p w:rsidR="00C2692F" w:rsidRDefault="00C2692F">
      <w:pPr>
        <w:pStyle w:val="Heading1"/>
      </w:pPr>
      <w:r>
        <w:t>Conclusion</w:t>
      </w:r>
    </w:p>
    <w:p w:rsidR="00C2692F" w:rsidRDefault="00A56BB1">
      <w:pPr>
        <w:pStyle w:val="Text"/>
      </w:pPr>
      <w:r>
        <w:t xml:space="preserve">Concluded that deep is the </w:t>
      </w:r>
      <w:proofErr w:type="gramStart"/>
      <w:r>
        <w:t>power!</w:t>
      </w:r>
      <w:r w:rsidR="00C2692F">
        <w:t>.</w:t>
      </w:r>
      <w:proofErr w:type="gramEnd"/>
      <w:r w:rsidR="00C2692F">
        <w:t xml:space="preserve"> </w:t>
      </w:r>
    </w:p>
    <w:p w:rsidR="0015028E" w:rsidRDefault="0015028E">
      <w:pPr>
        <w:pStyle w:val="ReferenceHead"/>
      </w:pPr>
    </w:p>
    <w:p w:rsidR="00C2692F" w:rsidRDefault="00C2692F">
      <w:pPr>
        <w:pStyle w:val="ReferenceHead"/>
      </w:pPr>
      <w:r>
        <w:t>Acknowledgment</w:t>
      </w:r>
    </w:p>
    <w:p w:rsidR="00C2692F" w:rsidRDefault="00A56BB1" w:rsidP="00A56BB1">
      <w:pPr>
        <w:pStyle w:val="Text"/>
        <w:spacing w:after="120" w:line="228" w:lineRule="auto"/>
        <w:ind w:firstLine="288"/>
      </w:pPr>
      <w:r>
        <w:t xml:space="preserve">Would like to thank Dr. </w:t>
      </w:r>
      <w:proofErr w:type="spellStart"/>
      <w:r>
        <w:t>Baurenstein</w:t>
      </w:r>
      <w:proofErr w:type="spellEnd"/>
      <w:r>
        <w:t xml:space="preserve"> and CDC folks.</w:t>
      </w:r>
    </w:p>
    <w:p w:rsidR="0015028E" w:rsidRDefault="0015028E">
      <w:pPr>
        <w:pStyle w:val="ReferenceHead"/>
      </w:pPr>
    </w:p>
    <w:p w:rsidR="0015028E" w:rsidRDefault="0015028E">
      <w:pPr>
        <w:pStyle w:val="ReferenceHead"/>
      </w:pPr>
    </w:p>
    <w:p w:rsidR="00C02DBE" w:rsidRDefault="00C2692F">
      <w:pPr>
        <w:pStyle w:val="ReferenceHead"/>
      </w:pPr>
      <w:r>
        <w:t>References</w:t>
      </w:r>
    </w:p>
    <w:p w:rsidR="00C02DBE" w:rsidRDefault="00C02DBE" w:rsidP="005D6A0A">
      <w:pPr>
        <w:pStyle w:val="ReferenceHead"/>
        <w:jc w:val="left"/>
      </w:pPr>
    </w:p>
    <w:p w:rsidR="00C049A9" w:rsidRPr="00C049A9" w:rsidRDefault="00C02DBE" w:rsidP="00C049A9">
      <w:pPr>
        <w:pStyle w:val="EndNoteBibliography"/>
        <w:ind w:left="720" w:hanging="720"/>
      </w:pPr>
      <w:r>
        <w:fldChar w:fldCharType="begin"/>
      </w:r>
      <w:r>
        <w:instrText xml:space="preserve"> ADDIN EN.REFLIST </w:instrText>
      </w:r>
      <w:r>
        <w:fldChar w:fldCharType="separate"/>
      </w:r>
      <w:r w:rsidR="00C049A9" w:rsidRPr="00C049A9">
        <w:t>[1]</w:t>
      </w:r>
      <w:r w:rsidR="00C049A9" w:rsidRPr="00C049A9">
        <w:tab/>
        <w:t xml:space="preserve">P. Jha, "Counting the dead is one of the world’s best investments to reduce premature mortality," </w:t>
      </w:r>
      <w:r w:rsidR="00C049A9" w:rsidRPr="00C049A9">
        <w:rPr>
          <w:i/>
        </w:rPr>
        <w:t xml:space="preserve">Hypothesis, </w:t>
      </w:r>
      <w:r w:rsidR="00C049A9" w:rsidRPr="00C049A9">
        <w:t>vol. 10, p. e3, 2012.</w:t>
      </w:r>
    </w:p>
    <w:p w:rsidR="00C049A9" w:rsidRPr="00C049A9" w:rsidRDefault="00C049A9" w:rsidP="00C049A9">
      <w:pPr>
        <w:pStyle w:val="EndNoteBibliography"/>
        <w:ind w:left="720" w:hanging="720"/>
      </w:pPr>
      <w:r w:rsidRPr="00C049A9">
        <w:t>[2]</w:t>
      </w:r>
      <w:r w:rsidRPr="00C049A9">
        <w:tab/>
        <w:t xml:space="preserve">T. L. Chorba, R. C. Holman, M. J. Clarke, and B. L. Evatt, "Effects of HIV infection on age and cause of death for persons with hemophilia A in the United States," </w:t>
      </w:r>
      <w:r w:rsidRPr="00C049A9">
        <w:rPr>
          <w:i/>
        </w:rPr>
        <w:t xml:space="preserve">American journal of hematology, </w:t>
      </w:r>
      <w:r w:rsidRPr="00C049A9">
        <w:t>vol. 66, pp. 229-240, 2001.</w:t>
      </w:r>
    </w:p>
    <w:p w:rsidR="00C049A9" w:rsidRPr="00C049A9" w:rsidRDefault="00C049A9" w:rsidP="00C049A9">
      <w:pPr>
        <w:pStyle w:val="EndNoteBibliography"/>
        <w:ind w:left="720" w:hanging="720"/>
      </w:pPr>
      <w:r w:rsidRPr="00C049A9">
        <w:t>[3]</w:t>
      </w:r>
      <w:r w:rsidRPr="00C049A9">
        <w:tab/>
        <w:t>W. C. Hooper, R. C. Holman, M. Clarke, and T. L. Chorba, "Trends in non</w:t>
      </w:r>
      <w:r w:rsidRPr="00C049A9">
        <w:rPr>
          <w:rFonts w:ascii="Cambria Math" w:hAnsi="Cambria Math" w:cs="Cambria Math"/>
        </w:rPr>
        <w:t>‐</w:t>
      </w:r>
      <w:r w:rsidRPr="00C049A9">
        <w:t>hodgkin lymphoma (NHL) and HIV</w:t>
      </w:r>
      <w:r w:rsidRPr="00C049A9">
        <w:rPr>
          <w:rFonts w:ascii="Cambria Math" w:hAnsi="Cambria Math" w:cs="Cambria Math"/>
        </w:rPr>
        <w:t>‐</w:t>
      </w:r>
      <w:r w:rsidRPr="00C049A9">
        <w:t xml:space="preserve">associated NHL deaths in the United States," </w:t>
      </w:r>
      <w:r w:rsidRPr="00C049A9">
        <w:rPr>
          <w:i/>
        </w:rPr>
        <w:t xml:space="preserve">American journal of hematology, </w:t>
      </w:r>
      <w:r w:rsidRPr="00C049A9">
        <w:t>vol. 66, pp. 159-166, 2001.</w:t>
      </w:r>
    </w:p>
    <w:p w:rsidR="00C049A9" w:rsidRPr="00C049A9" w:rsidRDefault="00C049A9" w:rsidP="00C049A9">
      <w:pPr>
        <w:pStyle w:val="EndNoteBibliography"/>
        <w:ind w:left="720" w:hanging="720"/>
      </w:pPr>
      <w:r w:rsidRPr="00C049A9">
        <w:t>[4]</w:t>
      </w:r>
      <w:r w:rsidRPr="00C049A9">
        <w:tab/>
        <w:t xml:space="preserve">D. M. Mannino, C. Brown, and G. A. Giovino, "Obstructive lung disease deaths in the United States from 1979 through 1993: an analysis using multiple-cause mortality data," </w:t>
      </w:r>
      <w:r w:rsidRPr="00C049A9">
        <w:rPr>
          <w:i/>
        </w:rPr>
        <w:t xml:space="preserve">American journal of respiratory and critical care medicine, </w:t>
      </w:r>
      <w:r w:rsidRPr="00C049A9">
        <w:t>vol. 156, pp. 814-818, 1997.</w:t>
      </w:r>
    </w:p>
    <w:p w:rsidR="00C049A9" w:rsidRPr="00C049A9" w:rsidRDefault="00C049A9" w:rsidP="00C049A9">
      <w:pPr>
        <w:pStyle w:val="EndNoteBibliography"/>
        <w:ind w:left="720" w:hanging="720"/>
      </w:pPr>
      <w:r w:rsidRPr="00C049A9">
        <w:t>[5]</w:t>
      </w:r>
      <w:r w:rsidRPr="00C049A9">
        <w:tab/>
        <w:t>C. Gordon, "Australian Bureau of Statistics, Multiple cause of death analysis. Publication 3319.0. 55.001," ed, 2003.</w:t>
      </w:r>
    </w:p>
    <w:p w:rsidR="00C049A9" w:rsidRPr="00C049A9" w:rsidRDefault="00C049A9" w:rsidP="00C049A9">
      <w:pPr>
        <w:pStyle w:val="EndNoteBibliography"/>
        <w:ind w:left="720" w:hanging="720"/>
      </w:pPr>
      <w:r w:rsidRPr="00C049A9">
        <w:t>[6]</w:t>
      </w:r>
      <w:r w:rsidRPr="00C049A9">
        <w:tab/>
        <w:t xml:space="preserve">S. Bah and M. M. Rahman, "Measures of multiple-cause mortality: a synthesis and a notational framework," </w:t>
      </w:r>
      <w:r w:rsidRPr="00C049A9">
        <w:rPr>
          <w:i/>
        </w:rPr>
        <w:t xml:space="preserve">Genus, </w:t>
      </w:r>
      <w:r w:rsidRPr="00C049A9">
        <w:t>vol. 65, pp. 29-43, 2009.</w:t>
      </w:r>
    </w:p>
    <w:p w:rsidR="00C2692F" w:rsidRDefault="00C02DBE" w:rsidP="00C049A9">
      <w:pPr>
        <w:pStyle w:val="ReferenceHead"/>
        <w:jc w:val="left"/>
      </w:pPr>
      <w:r>
        <w:fldChar w:fldCharType="end"/>
      </w:r>
    </w:p>
    <w:sectPr w:rsidR="00C2692F" w:rsidSect="0015028E">
      <w:headerReference w:type="default" r:id="rId10"/>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AFA" w:rsidRDefault="008E1AFA">
      <w:r>
        <w:separator/>
      </w:r>
    </w:p>
  </w:endnote>
  <w:endnote w:type="continuationSeparator" w:id="0">
    <w:p w:rsidR="008E1AFA" w:rsidRDefault="008E1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AFA" w:rsidRDefault="008E1AFA"/>
  </w:footnote>
  <w:footnote w:type="continuationSeparator" w:id="0">
    <w:p w:rsidR="008E1AFA" w:rsidRDefault="008E1AFA">
      <w:r>
        <w:continuationSeparator/>
      </w:r>
    </w:p>
  </w:footnote>
  <w:footnote w:id="1">
    <w:p w:rsidR="00670D46" w:rsidRDefault="00670D46" w:rsidP="00F73F28">
      <w:pPr>
        <w:pStyle w:val="FootnoteText"/>
      </w:pPr>
      <w:r>
        <w:t>*</w:t>
      </w:r>
      <w:r w:rsidRPr="004F6C4C">
        <w:t>This work was supported by the grants</w:t>
      </w:r>
      <w:r>
        <w:t xml:space="preserve"> from the Centers for Disease Prevention and Control (CDC)</w:t>
      </w:r>
      <w:r w:rsidRPr="004F6C4C">
        <w:t xml:space="preserve"> </w:t>
      </w:r>
      <w:r>
        <w:t xml:space="preserve">and the </w:t>
      </w:r>
      <w:r w:rsidR="00F73F28">
        <w:t>National Institutes of Health (NIH)</w:t>
      </w:r>
      <w:r w:rsidRPr="004F6C4C">
        <w:t>. The content is solely the responsibility of the authors and does not necessarily represent the official views of the National Institutes of Health</w:t>
      </w:r>
      <w:r>
        <w:t>.</w:t>
      </w:r>
    </w:p>
    <w:p w:rsidR="00670D46" w:rsidRDefault="00670D46" w:rsidP="00670D46">
      <w:pPr>
        <w:pStyle w:val="FootnoteText"/>
      </w:pPr>
      <w:r>
        <w:t xml:space="preserve">H. R. </w:t>
      </w:r>
      <w:proofErr w:type="spellStart"/>
      <w:r>
        <w:t>Hassanzadeh</w:t>
      </w:r>
      <w:proofErr w:type="spellEnd"/>
      <w:r>
        <w:t xml:space="preserve"> is with the Department of Computational Science and Engineering, Georgia Institute of Technology, Atlanta, GA 30332 USA. (email: </w:t>
      </w:r>
      <w:hyperlink r:id="rId1" w:history="1">
        <w:r w:rsidRPr="002D3B15">
          <w:rPr>
            <w:rStyle w:val="Hyperlink"/>
          </w:rPr>
          <w:t>hassanzadeh@gatech.edu</w:t>
        </w:r>
      </w:hyperlink>
      <w:r>
        <w:t>).</w:t>
      </w:r>
    </w:p>
    <w:p w:rsidR="00B04C18" w:rsidRDefault="00B04C18" w:rsidP="00B04C18">
      <w:pPr>
        <w:pStyle w:val="FootnoteText"/>
      </w:pPr>
      <w:r>
        <w:t>Y.</w:t>
      </w:r>
      <w:r w:rsidR="00EE6649">
        <w:t xml:space="preserve"> Sha</w:t>
      </w:r>
      <w:r w:rsidR="00670D46">
        <w:t xml:space="preserve"> is with the </w:t>
      </w:r>
      <w:r>
        <w:t>Department of Biology</w:t>
      </w:r>
      <w:r w:rsidR="00670D46" w:rsidRPr="005E7DD5">
        <w:t>, Georgia Institute of Technology, Atlanta, GA 30332</w:t>
      </w:r>
      <w:r w:rsidR="00670D46">
        <w:t xml:space="preserve"> USA. (email: </w:t>
      </w:r>
      <w:hyperlink r:id="rId2" w:history="1">
        <w:r w:rsidRPr="00A54F89">
          <w:rPr>
            <w:rStyle w:val="Hyperlink"/>
          </w:rPr>
          <w:t>ysha8@gatech.edu</w:t>
        </w:r>
      </w:hyperlink>
      <w:r w:rsidR="00670D46">
        <w:t>)</w:t>
      </w:r>
    </w:p>
    <w:p w:rsidR="00670D46" w:rsidRDefault="00670D46" w:rsidP="00593C60">
      <w:pPr>
        <w:pStyle w:val="FootnoteText"/>
      </w:pPr>
      <w:r>
        <w:t>P.</w:t>
      </w:r>
      <w:r w:rsidRPr="005E7DD5">
        <w:t xml:space="preserve"> </w:t>
      </w:r>
      <w:r w:rsidR="00B04C18">
        <w:t xml:space="preserve">Burns </w:t>
      </w:r>
      <w:r>
        <w:t xml:space="preserve">is with the </w:t>
      </w:r>
      <w:r w:rsidRPr="005E7DD5">
        <w:t>C</w:t>
      </w:r>
      <w:r w:rsidR="00B04C18">
        <w:t>enter for Diseases Control and Prevention (CDC)</w:t>
      </w:r>
      <w:r w:rsidRPr="005E7DD5">
        <w:t>, Atlanta, GA 3033</w:t>
      </w:r>
      <w:r w:rsidR="00B04C18">
        <w:t>3</w:t>
      </w:r>
      <w:r w:rsidRPr="005E7DD5">
        <w:t xml:space="preserve"> </w:t>
      </w:r>
      <w:r>
        <w:t xml:space="preserve">USA. (email: </w:t>
      </w:r>
      <w:hyperlink r:id="rId3" w:history="1">
        <w:r w:rsidR="00593C60">
          <w:rPr>
            <w:rStyle w:val="Hyperlink"/>
            <w:rFonts w:ascii="Calibri" w:hAnsi="Calibri"/>
          </w:rPr>
          <w:t>pax1@cdc.gov</w:t>
        </w:r>
      </w:hyperlink>
      <w:r w:rsidR="00593C60">
        <w:rPr>
          <w:rFonts w:ascii="Calibri" w:hAnsi="Calibri"/>
        </w:rPr>
        <w:t>)</w:t>
      </w:r>
    </w:p>
    <w:p w:rsidR="00C2692F" w:rsidRPr="00670D46" w:rsidRDefault="00670D46" w:rsidP="00670D4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E3NjU3NDQwtTS2NTSyUdpeDU4uLM/DyQApNaAO7P2UMs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dw0529c5affuex222psr0cdp522000ea50&quot;&gt;references&lt;record-ids&gt;&lt;item&gt;1&lt;/item&gt;&lt;item&gt;2&lt;/item&gt;&lt;item&gt;3&lt;/item&gt;&lt;item&gt;4&lt;/item&gt;&lt;item&gt;5&lt;/item&gt;&lt;item&gt;6&lt;/item&gt;&lt;/record-ids&gt;&lt;/item&gt;&lt;/Libraries&gt;"/>
  </w:docVars>
  <w:rsids>
    <w:rsidRoot w:val="00EA58F8"/>
    <w:rsid w:val="00075500"/>
    <w:rsid w:val="000831B3"/>
    <w:rsid w:val="00096437"/>
    <w:rsid w:val="000D64CA"/>
    <w:rsid w:val="0011508F"/>
    <w:rsid w:val="00125F25"/>
    <w:rsid w:val="00136D74"/>
    <w:rsid w:val="0015028E"/>
    <w:rsid w:val="001738EB"/>
    <w:rsid w:val="001A13E6"/>
    <w:rsid w:val="001B4C31"/>
    <w:rsid w:val="001D187A"/>
    <w:rsid w:val="001D508B"/>
    <w:rsid w:val="00234278"/>
    <w:rsid w:val="00292756"/>
    <w:rsid w:val="002B5A49"/>
    <w:rsid w:val="002C53A2"/>
    <w:rsid w:val="002E781C"/>
    <w:rsid w:val="0037400D"/>
    <w:rsid w:val="00394506"/>
    <w:rsid w:val="0042149E"/>
    <w:rsid w:val="00430366"/>
    <w:rsid w:val="004711BD"/>
    <w:rsid w:val="004919B9"/>
    <w:rsid w:val="004F7AA3"/>
    <w:rsid w:val="005065D7"/>
    <w:rsid w:val="0052189F"/>
    <w:rsid w:val="005762BD"/>
    <w:rsid w:val="00593C60"/>
    <w:rsid w:val="005D6A0A"/>
    <w:rsid w:val="005F474E"/>
    <w:rsid w:val="00630718"/>
    <w:rsid w:val="00662532"/>
    <w:rsid w:val="00670D46"/>
    <w:rsid w:val="006C0286"/>
    <w:rsid w:val="00702A64"/>
    <w:rsid w:val="00727DD1"/>
    <w:rsid w:val="0074193C"/>
    <w:rsid w:val="0076589B"/>
    <w:rsid w:val="00783948"/>
    <w:rsid w:val="007B1CA9"/>
    <w:rsid w:val="007B72F8"/>
    <w:rsid w:val="007C2F82"/>
    <w:rsid w:val="007C431A"/>
    <w:rsid w:val="007C4E9B"/>
    <w:rsid w:val="007C713D"/>
    <w:rsid w:val="007F61BC"/>
    <w:rsid w:val="0089711C"/>
    <w:rsid w:val="008E1AFA"/>
    <w:rsid w:val="008F08DE"/>
    <w:rsid w:val="0098250C"/>
    <w:rsid w:val="009B564E"/>
    <w:rsid w:val="009D197E"/>
    <w:rsid w:val="00A56BB1"/>
    <w:rsid w:val="00A57859"/>
    <w:rsid w:val="00B04C18"/>
    <w:rsid w:val="00B20ED2"/>
    <w:rsid w:val="00B344FB"/>
    <w:rsid w:val="00BD5212"/>
    <w:rsid w:val="00BF4140"/>
    <w:rsid w:val="00C02DBE"/>
    <w:rsid w:val="00C049A9"/>
    <w:rsid w:val="00C2692F"/>
    <w:rsid w:val="00C34019"/>
    <w:rsid w:val="00C37662"/>
    <w:rsid w:val="00C52B62"/>
    <w:rsid w:val="00C8432F"/>
    <w:rsid w:val="00D01553"/>
    <w:rsid w:val="00D5304F"/>
    <w:rsid w:val="00D56346"/>
    <w:rsid w:val="00D91B36"/>
    <w:rsid w:val="00DA4888"/>
    <w:rsid w:val="00DE6A82"/>
    <w:rsid w:val="00DE7350"/>
    <w:rsid w:val="00E672EC"/>
    <w:rsid w:val="00EA0088"/>
    <w:rsid w:val="00EA1AA2"/>
    <w:rsid w:val="00EA58F8"/>
    <w:rsid w:val="00ED155A"/>
    <w:rsid w:val="00ED211D"/>
    <w:rsid w:val="00ED6BDE"/>
    <w:rsid w:val="00EE6649"/>
    <w:rsid w:val="00F055FB"/>
    <w:rsid w:val="00F506B1"/>
    <w:rsid w:val="00F546BA"/>
    <w:rsid w:val="00F73F28"/>
    <w:rsid w:val="00FD6318"/>
    <w:rsid w:val="00FE05D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A23471"/>
  <w15:docId w15:val="{38BECFD5-DE81-46DD-BE89-26280421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新細明體"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0">
    <w:name w:val="figure caption"/>
    <w:rsid w:val="007A28F1"/>
    <w:p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C02DBE"/>
    <w:pPr>
      <w:jc w:val="center"/>
    </w:pPr>
    <w:rPr>
      <w:noProof/>
    </w:rPr>
  </w:style>
  <w:style w:type="character" w:customStyle="1" w:styleId="EndNoteBibliographyTitleChar">
    <w:name w:val="EndNote Bibliography Title Char"/>
    <w:basedOn w:val="BodyTextChar"/>
    <w:link w:val="EndNoteBibliographyTitle"/>
    <w:rsid w:val="00C02DBE"/>
    <w:rPr>
      <w:rFonts w:eastAsia="SimSun"/>
      <w:noProof/>
      <w:spacing w:val="-1"/>
    </w:rPr>
  </w:style>
  <w:style w:type="paragraph" w:customStyle="1" w:styleId="EndNoteBibliography">
    <w:name w:val="EndNote Bibliography"/>
    <w:basedOn w:val="Normal"/>
    <w:link w:val="EndNoteBibliographyChar"/>
    <w:rsid w:val="00C02DBE"/>
    <w:pPr>
      <w:jc w:val="center"/>
    </w:pPr>
    <w:rPr>
      <w:noProof/>
    </w:rPr>
  </w:style>
  <w:style w:type="character" w:customStyle="1" w:styleId="EndNoteBibliographyChar">
    <w:name w:val="EndNote Bibliography Char"/>
    <w:basedOn w:val="BodyTextChar"/>
    <w:link w:val="EndNoteBibliography"/>
    <w:rsid w:val="00C02DBE"/>
    <w:rPr>
      <w:rFonts w:eastAsia="SimSun"/>
      <w:noProof/>
      <w:spacing w:val="-1"/>
    </w:rPr>
  </w:style>
  <w:style w:type="paragraph" w:styleId="Caption">
    <w:name w:val="caption"/>
    <w:basedOn w:val="Normal"/>
    <w:next w:val="Normal"/>
    <w:unhideWhenUsed/>
    <w:qFormat/>
    <w:rsid w:val="001D187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emf"/></Relationships>
</file>

<file path=word/_rels/footnotes.xml.rels><?xml version="1.0" encoding="UTF-8" standalone="yes"?>
<Relationships xmlns="http://schemas.openxmlformats.org/package/2006/relationships"><Relationship Id="rId3" Type="http://schemas.openxmlformats.org/officeDocument/2006/relationships/hyperlink" Target="mailto:pax1@cdc.gov"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728D1-A62C-482B-B8AE-C73ED65E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796</TotalTime>
  <Pages>2</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Hassanzadeh, Hamid Reza</cp:lastModifiedBy>
  <cp:revision>48</cp:revision>
  <cp:lastPrinted>2012-01-31T04:17:00Z</cp:lastPrinted>
  <dcterms:created xsi:type="dcterms:W3CDTF">2017-02-13T15:43:00Z</dcterms:created>
  <dcterms:modified xsi:type="dcterms:W3CDTF">2017-02-14T23:50:00Z</dcterms:modified>
</cp:coreProperties>
</file>