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0E8A8A"/>
          <w:sz w:val="64"/>
          <w:szCs w:val="64"/>
        </w:rPr>
        <w:t xml:space="preserve">NEXRAI LABS</w:t>
      </w:r>
    </w:p>
    <w:p>
      <w:pPr>
        <w:spacing w:after="0" w:before="80"/>
      </w:pPr>
      <w:r>
        <w:rPr>
          <w:rFonts w:ascii="Arial" w:cs="Arial" w:eastAsia="Arial" w:hAnsi="Arial"/>
          <w:b w:val="false"/>
          <w:bCs w:val="false"/>
          <w:color w:val="0E2A47"/>
          <w:sz w:val="40"/>
          <w:szCs w:val="40"/>
        </w:rPr>
        <w:t xml:space="preserve">Company Profile</w:t>
      </w:r>
    </w:p>
    <w:p>
      <w:pPr>
        <w:spacing w:after="0" w:before="80"/>
      </w:pPr>
      <w:r>
        <w:rPr>
          <w:rFonts w:ascii="Arial" w:cs="Arial" w:eastAsia="Arial" w:hAnsi="Arial"/>
          <w:color w:val="6B7280"/>
          <w:sz w:val="24"/>
          <w:szCs w:val="24"/>
        </w:rPr>
        <w:t xml:space="preserve">AI Integration Studio for Small and Mid-Size Businesses</w:t>
      </w:r>
    </w:p>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4F7FB" w:val="clear"/>
            <w:tcMar>
              <w:top w:type="dxa" w:w="160"/>
              <w:left w:type="dxa" w:w="80"/>
              <w:bottom w:type="dxa" w:w="80"/>
              <w:right w:type="dxa" w:w="80"/>
            </w:tcMar>
            <w:vAlign w:val="center"/>
          </w:tcPr>
          <w:p>
            <w:pPr>
              <w:jc w:val="center"/>
            </w:pPr>
            <w:r>
              <w:rPr>
                <w:rFonts w:ascii="Arial" w:cs="Arial" w:eastAsia="Arial" w:hAnsi="Arial"/>
                <w:b/>
                <w:bCs/>
                <w:color w:val="0E8A8A"/>
                <w:sz w:val="48"/>
                <w:szCs w:val="48"/>
              </w:rPr>
              <w:t xml:space="preserve">22+</w:t>
            </w:r>
          </w:p>
        </w:tc>
        <w:tc>
          <w:tcPr>
            <w:tcW w:type="dxa" w:w="2340"/>
            <w:tcBorders>
              <w:top w:val="none" w:color="FFFFFF" w:sz="0"/>
              <w:left w:val="none" w:color="FFFFFF" w:sz="0"/>
              <w:bottom w:val="none" w:color="FFFFFF" w:sz="0"/>
              <w:right w:val="none" w:color="FFFFFF" w:sz="0"/>
            </w:tcBorders>
            <w:shd w:fill="F4F7FB" w:val="clear"/>
            <w:tcMar>
              <w:top w:type="dxa" w:w="160"/>
              <w:left w:type="dxa" w:w="80"/>
              <w:bottom w:type="dxa" w:w="80"/>
              <w:right w:type="dxa" w:w="80"/>
            </w:tcMar>
            <w:vAlign w:val="center"/>
          </w:tcPr>
          <w:p>
            <w:pPr>
              <w:jc w:val="center"/>
            </w:pPr>
            <w:r>
              <w:rPr>
                <w:rFonts w:ascii="Arial" w:cs="Arial" w:eastAsia="Arial" w:hAnsi="Arial"/>
                <w:b/>
                <w:bCs/>
                <w:color w:val="0E8A8A"/>
                <w:sz w:val="48"/>
                <w:szCs w:val="48"/>
              </w:rPr>
              <w:t xml:space="preserve">6</w:t>
            </w:r>
          </w:p>
        </w:tc>
        <w:tc>
          <w:tcPr>
            <w:tcW w:type="dxa" w:w="2340"/>
            <w:tcBorders>
              <w:top w:val="none" w:color="FFFFFF" w:sz="0"/>
              <w:left w:val="none" w:color="FFFFFF" w:sz="0"/>
              <w:bottom w:val="none" w:color="FFFFFF" w:sz="0"/>
              <w:right w:val="none" w:color="FFFFFF" w:sz="0"/>
            </w:tcBorders>
            <w:shd w:fill="F4F7FB" w:val="clear"/>
            <w:tcMar>
              <w:top w:type="dxa" w:w="160"/>
              <w:left w:type="dxa" w:w="80"/>
              <w:bottom w:type="dxa" w:w="80"/>
              <w:right w:type="dxa" w:w="80"/>
            </w:tcMar>
            <w:vAlign w:val="center"/>
          </w:tcPr>
          <w:p>
            <w:pPr>
              <w:jc w:val="center"/>
            </w:pPr>
            <w:r>
              <w:rPr>
                <w:rFonts w:ascii="Arial" w:cs="Arial" w:eastAsia="Arial" w:hAnsi="Arial"/>
                <w:b/>
                <w:bCs/>
                <w:color w:val="0E8A8A"/>
                <w:sz w:val="48"/>
                <w:szCs w:val="48"/>
              </w:rPr>
              <w:t xml:space="preserve">0</w:t>
            </w:r>
          </w:p>
        </w:tc>
        <w:tc>
          <w:tcPr>
            <w:tcW w:type="dxa" w:w="2340"/>
            <w:tcBorders>
              <w:top w:val="none" w:color="FFFFFF" w:sz="0"/>
              <w:left w:val="none" w:color="FFFFFF" w:sz="0"/>
              <w:bottom w:val="none" w:color="FFFFFF" w:sz="0"/>
              <w:right w:val="none" w:color="FFFFFF" w:sz="0"/>
            </w:tcBorders>
            <w:shd w:fill="F4F7FB" w:val="clear"/>
            <w:tcMar>
              <w:top w:type="dxa" w:w="160"/>
              <w:left w:type="dxa" w:w="80"/>
              <w:bottom w:type="dxa" w:w="80"/>
              <w:right w:type="dxa" w:w="80"/>
            </w:tcMar>
            <w:vAlign w:val="center"/>
          </w:tcPr>
          <w:p>
            <w:pPr>
              <w:jc w:val="center"/>
            </w:pPr>
            <w:r>
              <w:rPr>
                <w:rFonts w:ascii="Arial" w:cs="Arial" w:eastAsia="Arial" w:hAnsi="Arial"/>
                <w:b/>
                <w:bCs/>
                <w:color w:val="0E8A8A"/>
                <w:sz w:val="48"/>
                <w:szCs w:val="48"/>
              </w:rPr>
              <w:t xml:space="preserve">94%</w:t>
            </w:r>
          </w:p>
        </w:tc>
      </w:tr>
      <w:tr>
        <w:tc>
          <w:tcPr>
            <w:tcW w:type="dxa" w:w="2340"/>
            <w:tcBorders>
              <w:top w:val="none" w:color="FFFFFF" w:sz="0"/>
              <w:left w:val="none" w:color="FFFFFF" w:sz="0"/>
              <w:bottom w:val="none" w:color="FFFFFF" w:sz="0"/>
              <w:right w:val="none" w:color="FFFFFF" w:sz="0"/>
            </w:tcBorders>
            <w:shd w:fill="F4F7FB" w:val="clear"/>
            <w:tcMar>
              <w:top w:type="dxa" w:w="0"/>
              <w:left w:type="dxa" w:w="80"/>
              <w:bottom w:type="dxa" w:w="160"/>
              <w:right w:type="dxa" w:w="80"/>
            </w:tcMar>
          </w:tcPr>
          <w:p>
            <w:pPr>
              <w:jc w:val="center"/>
            </w:pPr>
            <w:r>
              <w:rPr>
                <w:rFonts w:ascii="Arial" w:cs="Arial" w:eastAsia="Arial" w:hAnsi="Arial"/>
                <w:color w:val="6B7280"/>
                <w:sz w:val="16"/>
                <w:szCs w:val="16"/>
              </w:rPr>
              <w:t xml:space="preserve">engagements delivered</w:t>
            </w:r>
          </w:p>
        </w:tc>
        <w:tc>
          <w:tcPr>
            <w:tcW w:type="dxa" w:w="2340"/>
            <w:tcBorders>
              <w:top w:val="none" w:color="FFFFFF" w:sz="0"/>
              <w:left w:val="none" w:color="FFFFFF" w:sz="0"/>
              <w:bottom w:val="none" w:color="FFFFFF" w:sz="0"/>
              <w:right w:val="none" w:color="FFFFFF" w:sz="0"/>
            </w:tcBorders>
            <w:shd w:fill="F4F7FB" w:val="clear"/>
            <w:tcMar>
              <w:top w:type="dxa" w:w="0"/>
              <w:left w:type="dxa" w:w="80"/>
              <w:bottom w:type="dxa" w:w="160"/>
              <w:right w:type="dxa" w:w="80"/>
            </w:tcMar>
          </w:tcPr>
          <w:p>
            <w:pPr>
              <w:jc w:val="center"/>
            </w:pPr>
            <w:r>
              <w:rPr>
                <w:rFonts w:ascii="Arial" w:cs="Arial" w:eastAsia="Arial" w:hAnsi="Arial"/>
                <w:color w:val="6B7280"/>
                <w:sz w:val="16"/>
                <w:szCs w:val="16"/>
              </w:rPr>
              <w:t xml:space="preserve">industries served</w:t>
            </w:r>
          </w:p>
        </w:tc>
        <w:tc>
          <w:tcPr>
            <w:tcW w:type="dxa" w:w="2340"/>
            <w:tcBorders>
              <w:top w:val="none" w:color="FFFFFF" w:sz="0"/>
              <w:left w:val="none" w:color="FFFFFF" w:sz="0"/>
              <w:bottom w:val="none" w:color="FFFFFF" w:sz="0"/>
              <w:right w:val="none" w:color="FFFFFF" w:sz="0"/>
            </w:tcBorders>
            <w:shd w:fill="F4F7FB" w:val="clear"/>
            <w:tcMar>
              <w:top w:type="dxa" w:w="0"/>
              <w:left w:type="dxa" w:w="80"/>
              <w:bottom w:type="dxa" w:w="160"/>
              <w:right w:type="dxa" w:w="80"/>
            </w:tcMar>
          </w:tcPr>
          <w:p>
            <w:pPr>
              <w:jc w:val="center"/>
            </w:pPr>
            <w:r>
              <w:rPr>
                <w:rFonts w:ascii="Arial" w:cs="Arial" w:eastAsia="Arial" w:hAnsi="Arial"/>
                <w:color w:val="6B7280"/>
                <w:sz w:val="16"/>
                <w:szCs w:val="16"/>
              </w:rPr>
              <w:t xml:space="preserve">hallucination incidents in production</w:t>
            </w:r>
          </w:p>
        </w:tc>
        <w:tc>
          <w:tcPr>
            <w:tcW w:type="dxa" w:w="2340"/>
            <w:tcBorders>
              <w:top w:val="none" w:color="FFFFFF" w:sz="0"/>
              <w:left w:val="none" w:color="FFFFFF" w:sz="0"/>
              <w:bottom w:val="none" w:color="FFFFFF" w:sz="0"/>
              <w:right w:val="none" w:color="FFFFFF" w:sz="0"/>
            </w:tcBorders>
            <w:shd w:fill="F4F7FB" w:val="clear"/>
            <w:tcMar>
              <w:top w:type="dxa" w:w="0"/>
              <w:left w:type="dxa" w:w="80"/>
              <w:bottom w:type="dxa" w:w="160"/>
              <w:right w:type="dxa" w:w="80"/>
            </w:tcMar>
          </w:tcPr>
          <w:p>
            <w:pPr>
              <w:jc w:val="center"/>
            </w:pPr>
            <w:r>
              <w:rPr>
                <w:rFonts w:ascii="Arial" w:cs="Arial" w:eastAsia="Arial" w:hAnsi="Arial"/>
                <w:color w:val="6B7280"/>
                <w:sz w:val="16"/>
                <w:szCs w:val="16"/>
              </w:rPr>
              <w:t xml:space="preserve">client retention rate</w:t>
            </w:r>
          </w:p>
        </w:tc>
      </w:tr>
    </w:tbl>
    <w:p>
      <w:pPr>
        <w:spacing w:after="0" w:before="400"/>
      </w:pPr>
      <w:r>
        <w:t xml:space="preserve"/>
      </w:r>
    </w:p>
    <w:p>
      <w:pPr>
        <w:pBdr>
          <w:bottom w:val="single" w:color="D6DEE8" w:sz="4"/>
        </w:pBdr>
        <w:spacing w:after="0"/>
      </w:pPr>
      <w:r>
        <w:rPr>
          <w:rFonts w:ascii="Arial" w:cs="Arial" w:eastAsia="Arial" w:hAnsi="Arial"/>
          <w:i/>
          <w:iCs/>
          <w:color w:val="6B7280"/>
          <w:sz w:val="17"/>
          <w:szCs w:val="17"/>
        </w:rPr>
        <w:t xml:space="preserve">Version 2.1  ·  April 2026  ·  Confidential</w:t>
      </w:r>
    </w:p>
    <w:p>
      <w:pPr>
        <w:pageBreakBefore/>
      </w:pPr>
      <w:r>
        <w:t xml:space="preserve"/>
      </w:r>
    </w:p>
    <w:p>
      <w:pPr>
        <w:pStyle w:val="Heading1"/>
        <w:pBdr>
          <w:bottom w:val="single" w:color="0E8A8A" w:sz="6" w:space="4"/>
        </w:pBdr>
        <w:spacing w:after="120" w:before="280"/>
      </w:pPr>
      <w:r>
        <w:rPr>
          <w:rFonts w:ascii="Arial" w:cs="Arial" w:eastAsia="Arial" w:hAnsi="Arial"/>
          <w:b/>
          <w:bCs/>
          <w:color w:val="0E2A47"/>
          <w:sz w:val="30"/>
          <w:szCs w:val="30"/>
        </w:rPr>
        <w:t xml:space="preserve">1.  Who We Are</w:t>
      </w:r>
    </w:p>
    <w:p>
      <w:pPr>
        <w:spacing w:after="120" w:line="276"/>
        <w:jc w:val="both"/>
      </w:pPr>
      <w:r>
        <w:rPr>
          <w:rFonts w:ascii="Arial" w:cs="Arial" w:eastAsia="Arial" w:hAnsi="Arial"/>
          <w:b w:val="false"/>
          <w:bCs w:val="false"/>
          <w:color w:val="1F2937"/>
          <w:sz w:val="20"/>
          <w:szCs w:val="20"/>
        </w:rPr>
        <w:t xml:space="preserve">Nexrai Labs is a specialist AI integration studio founded in 2023, headquartered in Frankfurt am Main with a distributed team across Germany and the Netherlands. We help small and mid-size businesses deploy practical, production-grade AI systems — voice receptionists, customer support agents, marketing automation, and agentic workflows — that reduce manual workload, improve response times, and compound in value over time.</w:t>
      </w:r>
    </w:p>
    <w:p>
      <w:pPr>
        <w:spacing w:after="120" w:line="276"/>
        <w:jc w:val="both"/>
      </w:pPr>
      <w:r>
        <w:rPr>
          <w:rFonts w:ascii="Arial" w:cs="Arial" w:eastAsia="Arial" w:hAnsi="Arial"/>
          <w:b w:val="false"/>
          <w:bCs w:val="false"/>
          <w:color w:val="1F2937"/>
          <w:sz w:val="20"/>
          <w:szCs w:val="20"/>
        </w:rPr>
        <w:t xml:space="preserve">We are not a software house that added an AI practice. AI integration is our only practice. Every engagement starts with the same question: what is the human task that is most expensive, most repetitive, and most amenable to AI assistance? We build the narrowest possible system that answers that question, instrument it so we can measure whether it worked, and expand only when the pilot has proven its value.</w:t>
      </w:r>
    </w:p>
    <w:p>
      <w:pPr>
        <w:spacing w:after="120" w:line="276"/>
        <w:jc w:val="both"/>
      </w:pPr>
      <w:r>
        <w:rPr>
          <w:rFonts w:ascii="Arial" w:cs="Arial" w:eastAsia="Arial" w:hAnsi="Arial"/>
          <w:b w:val="false"/>
          <w:bCs w:val="false"/>
          <w:color w:val="1F2937"/>
          <w:sz w:val="20"/>
          <w:szCs w:val="20"/>
        </w:rPr>
        <w:t xml:space="preserve">We deliberately avoid the enterprise market. Our clients are dental clinics, DTC e-commerce brands, B2B SaaS companies under 200 employees, freight forwarders, and professional service firms. They share a common profile: strong in their domain, under-resourced in AI, and unwilling to take on the risk and cost of a large vendor relationship for a problem they are not certain AI can solve. Our job is to be that first trusted proof point.</w:t>
      </w:r>
    </w:p>
    <w:p>
      <w:pPr>
        <w:spacing w:after="0" w:before="80"/>
      </w:pPr>
      <w:r>
        <w:t xml:space="preserve"/>
      </w:r>
    </w:p>
    <w:p>
      <w:pPr>
        <w:pStyle w:val="Heading1"/>
        <w:pBdr>
          <w:bottom w:val="single" w:color="0E8A8A" w:sz="6" w:space="4"/>
        </w:pBdr>
        <w:spacing w:after="120" w:before="280"/>
      </w:pPr>
      <w:r>
        <w:rPr>
          <w:rFonts w:ascii="Arial" w:cs="Arial" w:eastAsia="Arial" w:hAnsi="Arial"/>
          <w:b/>
          <w:bCs/>
          <w:color w:val="0E2A47"/>
          <w:sz w:val="30"/>
          <w:szCs w:val="30"/>
        </w:rPr>
        <w:t xml:space="preserve">2.  Mission and Working Approach</w:t>
      </w:r>
    </w:p>
    <w:p>
      <w:pPr>
        <w:spacing w:after="120" w:line="276"/>
        <w:jc w:val="both"/>
      </w:pPr>
      <w:r>
        <w:rPr>
          <w:rFonts w:ascii="Arial" w:cs="Arial" w:eastAsia="Arial" w:hAnsi="Arial"/>
          <w:b w:val="false"/>
          <w:bCs w:val="false"/>
          <w:color w:val="1F2937"/>
          <w:sz w:val="20"/>
          <w:szCs w:val="20"/>
        </w:rPr>
        <w:t xml:space="preserve">Our mission: to make production-grade AI accessible to businesses that cannot afford enterprise vendors and cannot wait for internal engineering capacity to catch up with what is possible.</w:t>
      </w:r>
    </w:p>
    <w:p>
      <w:pPr>
        <w:pStyle w:val="Heading2"/>
        <w:spacing w:after="80" w:before="200"/>
      </w:pPr>
      <w:r>
        <w:rPr>
          <w:rFonts w:ascii="Arial" w:cs="Arial" w:eastAsia="Arial" w:hAnsi="Arial"/>
          <w:b/>
          <w:bCs/>
          <w:color w:val="0E8A8A"/>
          <w:sz w:val="24"/>
          <w:szCs w:val="24"/>
        </w:rPr>
        <w:t xml:space="preserve">Principles we build by</w:t>
      </w:r>
    </w:p>
    <w:p>
      <w:pPr>
        <w:pStyle w:val="ListParagraph"/>
        <w:numPr>
          <w:ilvl w:val="0"/>
          <w:numId w:val="2"/>
        </w:numPr>
        <w:spacing w:after="60" w:line="276"/>
      </w:pPr>
      <w:r>
        <w:rPr>
          <w:rFonts w:ascii="Arial" w:cs="Arial" w:eastAsia="Arial" w:hAnsi="Arial"/>
          <w:color w:val="1F2937"/>
          <w:sz w:val="20"/>
          <w:szCs w:val="20"/>
        </w:rPr>
        <w:t xml:space="preserve">Narrow scope, deep execution. We refuse work that is too broad to succeed. A voice receptionist with five well-defined tools is worth more than a platform with twenty vague capabilities.</w:t>
      </w:r>
    </w:p>
    <w:p>
      <w:pPr>
        <w:pStyle w:val="ListParagraph"/>
        <w:numPr>
          <w:ilvl w:val="0"/>
          <w:numId w:val="2"/>
        </w:numPr>
        <w:spacing w:after="60" w:line="276"/>
      </w:pPr>
      <w:r>
        <w:rPr>
          <w:rFonts w:ascii="Arial" w:cs="Arial" w:eastAsia="Arial" w:hAnsi="Arial"/>
          <w:color w:val="1F2937"/>
          <w:sz w:val="20"/>
          <w:szCs w:val="20"/>
        </w:rPr>
        <w:t xml:space="preserve">Human-in-the-loop by default. In regulated domains and anywhere the stakes are high, every agent action that matters is reviewed by a human before it takes effect.</w:t>
      </w:r>
    </w:p>
    <w:p>
      <w:pPr>
        <w:pStyle w:val="ListParagraph"/>
        <w:numPr>
          <w:ilvl w:val="0"/>
          <w:numId w:val="2"/>
        </w:numPr>
        <w:spacing w:after="60" w:line="276"/>
      </w:pPr>
      <w:r>
        <w:rPr>
          <w:rFonts w:ascii="Arial" w:cs="Arial" w:eastAsia="Arial" w:hAnsi="Arial"/>
          <w:color w:val="1F2937"/>
          <w:sz w:val="20"/>
          <w:szCs w:val="20"/>
        </w:rPr>
        <w:t xml:space="preserve">No hallucination tolerance in production. For support agents and classification tools, we use retrieval-grounded architectures with explicit refusal when confidence is low, never general LLM fallback.</w:t>
      </w:r>
    </w:p>
    <w:p>
      <w:pPr>
        <w:pStyle w:val="ListParagraph"/>
        <w:numPr>
          <w:ilvl w:val="0"/>
          <w:numId w:val="2"/>
        </w:numPr>
        <w:spacing w:after="60" w:line="276"/>
      </w:pPr>
      <w:r>
        <w:rPr>
          <w:rFonts w:ascii="Arial" w:cs="Arial" w:eastAsia="Arial" w:hAnsi="Arial"/>
          <w:color w:val="1F2937"/>
          <w:sz w:val="20"/>
          <w:szCs w:val="20"/>
        </w:rPr>
        <w:t xml:space="preserve">Sit on top of existing tools. We build on Klaviyo, Front, Sipgate, Postgres, Slack — we do not ask clients to migrate unless migration is unavoidable.</w:t>
      </w:r>
    </w:p>
    <w:p>
      <w:pPr>
        <w:pStyle w:val="ListParagraph"/>
        <w:numPr>
          <w:ilvl w:val="0"/>
          <w:numId w:val="2"/>
        </w:numPr>
        <w:spacing w:after="60" w:line="276"/>
      </w:pPr>
      <w:r>
        <w:rPr>
          <w:rFonts w:ascii="Arial" w:cs="Arial" w:eastAsia="Arial" w:hAnsi="Arial"/>
          <w:color w:val="1F2937"/>
          <w:sz w:val="20"/>
          <w:szCs w:val="20"/>
        </w:rPr>
        <w:t xml:space="preserve">Measure from day one. Every engagement ships with a success metric agreed before build starts and a dashboard the client owns.</w:t>
      </w:r>
    </w:p>
    <w:p>
      <w:pPr>
        <w:spacing w:after="0" w:before="80"/>
      </w:pPr>
      <w:r>
        <w:t xml:space="preserve"/>
      </w:r>
    </w:p>
    <w:p>
      <w:pPr>
        <w:pStyle w:val="Heading1"/>
        <w:pBdr>
          <w:bottom w:val="single" w:color="0E8A8A" w:sz="6" w:space="4"/>
        </w:pBdr>
        <w:spacing w:after="120" w:before="280"/>
      </w:pPr>
      <w:r>
        <w:rPr>
          <w:rFonts w:ascii="Arial" w:cs="Arial" w:eastAsia="Arial" w:hAnsi="Arial"/>
          <w:b/>
          <w:bCs/>
          <w:color w:val="0E2A47"/>
          <w:sz w:val="30"/>
          <w:szCs w:val="30"/>
        </w:rPr>
        <w:t xml:space="preserve">3.  Services</w:t>
      </w:r>
    </w:p>
    <w:p>
      <w:pPr>
        <w:spacing w:after="120" w:line="276"/>
        <w:jc w:val="both"/>
      </w:pPr>
      <w:r>
        <w:rPr>
          <w:rFonts w:ascii="Arial" w:cs="Arial" w:eastAsia="Arial" w:hAnsi="Arial"/>
          <w:b w:val="false"/>
          <w:bCs w:val="false"/>
          <w:color w:val="1F2937"/>
          <w:sz w:val="20"/>
          <w:szCs w:val="20"/>
        </w:rPr>
        <w:t xml:space="preserve">We offer four service lines, each with a fixed-scope build and an optional managed retainer.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E2A47" w:sz="1"/>
              <w:left w:val="single" w:color="0E2A47" w:sz="1"/>
              <w:bottom w:val="single" w:color="0E2A47" w:sz="1"/>
              <w:right w:val="single" w:color="0E2A47" w:sz="1"/>
            </w:tcBorders>
            <w:shd w:fill="0E2A47"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400"/>
            <w:tcBorders>
              <w:top w:val="single" w:color="0E2A47" w:sz="1"/>
              <w:left w:val="single" w:color="0E2A47" w:sz="1"/>
              <w:bottom w:val="single" w:color="0E2A47" w:sz="1"/>
              <w:right w:val="single" w:color="0E2A47" w:sz="1"/>
            </w:tcBorders>
            <w:shd w:fill="0E2A47" w:val="clear"/>
            <w:tcMar>
              <w:top w:type="dxa" w:w="80"/>
              <w:left w:type="dxa" w:w="120"/>
              <w:bottom w:type="dxa" w:w="80"/>
              <w:right w:type="dxa" w:w="120"/>
            </w:tcMar>
          </w:tcPr>
          <w:p>
            <w:r>
              <w:rPr>
                <w:rFonts w:ascii="Arial" w:cs="Arial" w:eastAsia="Arial" w:hAnsi="Arial"/>
                <w:b/>
                <w:bCs/>
                <w:color w:val="FFFFFF"/>
                <w:sz w:val="18"/>
                <w:szCs w:val="18"/>
              </w:rPr>
              <w:t xml:space="preserve">Ideal Client</w:t>
            </w:r>
          </w:p>
        </w:tc>
        <w:tc>
          <w:tcPr>
            <w:tcW w:type="dxa" w:w="4560"/>
            <w:tcBorders>
              <w:top w:val="single" w:color="0E2A47" w:sz="1"/>
              <w:left w:val="single" w:color="0E2A47" w:sz="1"/>
              <w:bottom w:val="single" w:color="0E2A47" w:sz="1"/>
              <w:right w:val="single" w:color="0E2A47" w:sz="1"/>
            </w:tcBorders>
            <w:shd w:fill="0E2A47" w:val="clear"/>
            <w:tcMar>
              <w:top w:type="dxa" w:w="80"/>
              <w:left w:type="dxa" w:w="120"/>
              <w:bottom w:type="dxa" w:w="80"/>
              <w:right w:type="dxa" w:w="120"/>
            </w:tcMar>
          </w:tcPr>
          <w:p>
            <w:r>
              <w:rPr>
                <w:rFonts w:ascii="Arial" w:cs="Arial" w:eastAsia="Arial" w:hAnsi="Arial"/>
                <w:b/>
                <w:bCs/>
                <w:color w:val="FFFFFF"/>
                <w:sz w:val="18"/>
                <w:szCs w:val="18"/>
              </w:rPr>
              <w:t xml:space="preserve">Typical Outcome</w:t>
            </w:r>
          </w:p>
        </w:tc>
      </w:tr>
      <w:tr>
        <w:tc>
          <w:tcPr>
            <w:tcW w:type="dxa" w:w="2400"/>
            <w:tcBorders>
              <w:top w:val="single" w:color="D6DEE8" w:sz="1"/>
              <w:left w:val="single" w:color="D6DEE8" w:sz="1"/>
              <w:bottom w:val="single" w:color="D6DEE8" w:sz="1"/>
              <w:right w:val="single" w:color="D6DEE8"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AI Voice Receptionist</w:t>
            </w:r>
          </w:p>
        </w:tc>
        <w:tc>
          <w:tcPr>
            <w:tcW w:type="dxa" w:w="2400"/>
            <w:tcBorders>
              <w:top w:val="single" w:color="D6DEE8" w:sz="1"/>
              <w:left w:val="single" w:color="D6DEE8" w:sz="1"/>
              <w:bottom w:val="single" w:color="D6DEE8" w:sz="1"/>
              <w:right w:val="single" w:color="D6DEE8"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Clinics, therapy practices, professional services</w:t>
            </w:r>
          </w:p>
        </w:tc>
        <w:tc>
          <w:tcPr>
            <w:tcW w:type="dxa" w:w="4560"/>
            <w:tcBorders>
              <w:top w:val="single" w:color="D6DEE8" w:sz="1"/>
              <w:left w:val="single" w:color="D6DEE8" w:sz="1"/>
              <w:bottom w:val="single" w:color="D6DEE8" w:sz="1"/>
              <w:right w:val="single" w:color="D6DEE8"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60–80% call-handling automation; 24/7 coverage; HIPAA / GDPR compliant</w:t>
            </w:r>
          </w:p>
        </w:tc>
      </w:tr>
      <w:tr>
        <w:tc>
          <w:tcPr>
            <w:tcW w:type="dxa" w:w="2400"/>
            <w:tcBorders>
              <w:top w:val="single" w:color="D6DEE8" w:sz="1"/>
              <w:left w:val="single" w:color="D6DEE8" w:sz="1"/>
              <w:bottom w:val="single" w:color="D6DEE8" w:sz="1"/>
              <w:right w:val="single" w:color="D6DEE8" w:sz="1"/>
            </w:tcBorders>
            <w:shd w:fill="F4F7FB" w:val="clear"/>
            <w:tcMar>
              <w:top w:type="dxa" w:w="70"/>
              <w:left w:type="dxa" w:w="120"/>
              <w:bottom w:type="dxa" w:w="70"/>
              <w:right w:type="dxa" w:w="120"/>
            </w:tcMar>
          </w:tcPr>
          <w:p>
            <w:r>
              <w:rPr>
                <w:rFonts w:ascii="Arial" w:cs="Arial" w:eastAsia="Arial" w:hAnsi="Arial"/>
                <w:color w:val="1F2937"/>
                <w:sz w:val="18"/>
                <w:szCs w:val="18"/>
              </w:rPr>
              <w:t xml:space="preserve">AI Customer Support Agent</w:t>
            </w:r>
          </w:p>
        </w:tc>
        <w:tc>
          <w:tcPr>
            <w:tcW w:type="dxa" w:w="2400"/>
            <w:tcBorders>
              <w:top w:val="single" w:color="D6DEE8" w:sz="1"/>
              <w:left w:val="single" w:color="D6DEE8" w:sz="1"/>
              <w:bottom w:val="single" w:color="D6DEE8" w:sz="1"/>
              <w:right w:val="single" w:color="D6DEE8" w:sz="1"/>
            </w:tcBorders>
            <w:shd w:fill="F4F7FB" w:val="clear"/>
            <w:tcMar>
              <w:top w:type="dxa" w:w="70"/>
              <w:left w:type="dxa" w:w="120"/>
              <w:bottom w:type="dxa" w:w="70"/>
              <w:right w:type="dxa" w:w="120"/>
            </w:tcMar>
          </w:tcPr>
          <w:p>
            <w:r>
              <w:rPr>
                <w:rFonts w:ascii="Arial" w:cs="Arial" w:eastAsia="Arial" w:hAnsi="Arial"/>
                <w:color w:val="1F2937"/>
                <w:sz w:val="18"/>
                <w:szCs w:val="18"/>
              </w:rPr>
              <w:t xml:space="preserve">B2B SaaS, e-commerce, logistics</w:t>
            </w:r>
          </w:p>
        </w:tc>
        <w:tc>
          <w:tcPr>
            <w:tcW w:type="dxa" w:w="4560"/>
            <w:tcBorders>
              <w:top w:val="single" w:color="D6DEE8" w:sz="1"/>
              <w:left w:val="single" w:color="D6DEE8" w:sz="1"/>
              <w:bottom w:val="single" w:color="D6DEE8" w:sz="1"/>
              <w:right w:val="single" w:color="D6DEE8" w:sz="1"/>
            </w:tcBorders>
            <w:shd w:fill="F4F7FB" w:val="clear"/>
            <w:tcMar>
              <w:top w:type="dxa" w:w="70"/>
              <w:left w:type="dxa" w:w="120"/>
              <w:bottom w:type="dxa" w:w="70"/>
              <w:right w:type="dxa" w:w="120"/>
            </w:tcMar>
          </w:tcPr>
          <w:p>
            <w:r>
              <w:rPr>
                <w:rFonts w:ascii="Arial" w:cs="Arial" w:eastAsia="Arial" w:hAnsi="Arial"/>
                <w:color w:val="1F2937"/>
                <w:sz w:val="18"/>
                <w:szCs w:val="18"/>
              </w:rPr>
              <w:t xml:space="preserve">30–50% tier-1 deflection; cited replies; Front / Zendesk / Intercom integration</w:t>
            </w:r>
          </w:p>
        </w:tc>
      </w:tr>
      <w:tr>
        <w:tc>
          <w:tcPr>
            <w:tcW w:type="dxa" w:w="2400"/>
            <w:tcBorders>
              <w:top w:val="single" w:color="D6DEE8" w:sz="1"/>
              <w:left w:val="single" w:color="D6DEE8" w:sz="1"/>
              <w:bottom w:val="single" w:color="D6DEE8" w:sz="1"/>
              <w:right w:val="single" w:color="D6DEE8"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AI Marketing Automation</w:t>
            </w:r>
          </w:p>
        </w:tc>
        <w:tc>
          <w:tcPr>
            <w:tcW w:type="dxa" w:w="2400"/>
            <w:tcBorders>
              <w:top w:val="single" w:color="D6DEE8" w:sz="1"/>
              <w:left w:val="single" w:color="D6DEE8" w:sz="1"/>
              <w:bottom w:val="single" w:color="D6DEE8" w:sz="1"/>
              <w:right w:val="single" w:color="D6DEE8"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DTC brands, SMB retailers, agencies</w:t>
            </w:r>
          </w:p>
        </w:tc>
        <w:tc>
          <w:tcPr>
            <w:tcW w:type="dxa" w:w="4560"/>
            <w:tcBorders>
              <w:top w:val="single" w:color="D6DEE8" w:sz="1"/>
              <w:left w:val="single" w:color="D6DEE8" w:sz="1"/>
              <w:bottom w:val="single" w:color="D6DEE8" w:sz="1"/>
              <w:right w:val="single" w:color="D6DEE8" w:sz="1"/>
            </w:tcBorders>
            <w:shd w:fill="FFFFFF" w:val="clear"/>
            <w:tcMar>
              <w:top w:type="dxa" w:w="70"/>
              <w:left w:type="dxa" w:w="120"/>
              <w:bottom w:type="dxa" w:w="70"/>
              <w:right w:type="dxa" w:w="120"/>
            </w:tcMar>
          </w:tcPr>
          <w:p>
            <w:r>
              <w:rPr>
                <w:rFonts w:ascii="Arial" w:cs="Arial" w:eastAsia="Arial" w:hAnsi="Arial"/>
                <w:color w:val="1F2937"/>
                <w:sz w:val="18"/>
                <w:szCs w:val="18"/>
              </w:rPr>
              <w:t xml:space="preserve">+15–25% email-attributed revenue; brand-voice-safe generation; Klaviyo native</w:t>
            </w:r>
          </w:p>
        </w:tc>
      </w:tr>
      <w:tr>
        <w:tc>
          <w:tcPr>
            <w:tcW w:type="dxa" w:w="2400"/>
            <w:tcBorders>
              <w:top w:val="single" w:color="D6DEE8" w:sz="1"/>
              <w:left w:val="single" w:color="D6DEE8" w:sz="1"/>
              <w:bottom w:val="single" w:color="D6DEE8" w:sz="1"/>
              <w:right w:val="single" w:color="D6DEE8" w:sz="1"/>
            </w:tcBorders>
            <w:shd w:fill="F4F7FB" w:val="clear"/>
            <w:tcMar>
              <w:top w:type="dxa" w:w="70"/>
              <w:left w:type="dxa" w:w="120"/>
              <w:bottom w:type="dxa" w:w="70"/>
              <w:right w:type="dxa" w:w="120"/>
            </w:tcMar>
          </w:tcPr>
          <w:p>
            <w:r>
              <w:rPr>
                <w:rFonts w:ascii="Arial" w:cs="Arial" w:eastAsia="Arial" w:hAnsi="Arial"/>
                <w:color w:val="1F2937"/>
                <w:sz w:val="18"/>
                <w:szCs w:val="18"/>
              </w:rPr>
              <w:t xml:space="preserve">Agentic Workflow Automation</w:t>
            </w:r>
          </w:p>
        </w:tc>
        <w:tc>
          <w:tcPr>
            <w:tcW w:type="dxa" w:w="2400"/>
            <w:tcBorders>
              <w:top w:val="single" w:color="D6DEE8" w:sz="1"/>
              <w:left w:val="single" w:color="D6DEE8" w:sz="1"/>
              <w:bottom w:val="single" w:color="D6DEE8" w:sz="1"/>
              <w:right w:val="single" w:color="D6DEE8" w:sz="1"/>
            </w:tcBorders>
            <w:shd w:fill="F4F7FB" w:val="clear"/>
            <w:tcMar>
              <w:top w:type="dxa" w:w="70"/>
              <w:left w:type="dxa" w:w="120"/>
              <w:bottom w:type="dxa" w:w="70"/>
              <w:right w:type="dxa" w:w="120"/>
            </w:tcMar>
          </w:tcPr>
          <w:p>
            <w:r>
              <w:rPr>
                <w:rFonts w:ascii="Arial" w:cs="Arial" w:eastAsia="Arial" w:hAnsi="Arial"/>
                <w:color w:val="1F2937"/>
                <w:sz w:val="18"/>
                <w:szCs w:val="18"/>
              </w:rPr>
              <w:t xml:space="preserve">Freight forwarders, customs brokers, professional services</w:t>
            </w:r>
          </w:p>
        </w:tc>
        <w:tc>
          <w:tcPr>
            <w:tcW w:type="dxa" w:w="4560"/>
            <w:tcBorders>
              <w:top w:val="single" w:color="D6DEE8" w:sz="1"/>
              <w:left w:val="single" w:color="D6DEE8" w:sz="1"/>
              <w:bottom w:val="single" w:color="D6DEE8" w:sz="1"/>
              <w:right w:val="single" w:color="D6DEE8" w:sz="1"/>
            </w:tcBorders>
            <w:shd w:fill="F4F7FB" w:val="clear"/>
            <w:tcMar>
              <w:top w:type="dxa" w:w="70"/>
              <w:left w:type="dxa" w:w="120"/>
              <w:bottom w:type="dxa" w:w="70"/>
              <w:right w:type="dxa" w:w="120"/>
            </w:tcMar>
          </w:tcPr>
          <w:p>
            <w:r>
              <w:rPr>
                <w:rFonts w:ascii="Arial" w:cs="Arial" w:eastAsia="Arial" w:hAnsi="Arial"/>
                <w:color w:val="1F2937"/>
                <w:sz w:val="18"/>
                <w:szCs w:val="18"/>
              </w:rPr>
              <w:t xml:space="preserve">3–5x speed on document-heavy processes; human-review gates throughout</w:t>
            </w:r>
          </w:p>
        </w:tc>
      </w:tr>
    </w:tbl>
    <w:p>
      <w:pPr>
        <w:spacing w:after="0" w:before="120"/>
      </w:pPr>
      <w:r>
        <w:t xml:space="preserve"/>
      </w:r>
    </w:p>
    <w:p>
      <w:pPr>
        <w:pStyle w:val="Heading2"/>
        <w:spacing w:after="80" w:before="200"/>
      </w:pPr>
      <w:r>
        <w:rPr>
          <w:rFonts w:ascii="Arial" w:cs="Arial" w:eastAsia="Arial" w:hAnsi="Arial"/>
          <w:b/>
          <w:bCs/>
          <w:color w:val="0E8A8A"/>
          <w:sz w:val="24"/>
          <w:szCs w:val="24"/>
        </w:rPr>
        <w:t xml:space="preserve">Engagement formats</w:t>
      </w:r>
    </w:p>
    <w:p>
      <w:pPr>
        <w:pStyle w:val="ListParagraph"/>
        <w:numPr>
          <w:ilvl w:val="0"/>
          <w:numId w:val="2"/>
        </w:numPr>
        <w:spacing w:after="60" w:line="276"/>
      </w:pPr>
      <w:r>
        <w:rPr>
          <w:rFonts w:ascii="Arial" w:cs="Arial" w:eastAsia="Arial" w:hAnsi="Arial"/>
          <w:color w:val="1F2937"/>
          <w:sz w:val="20"/>
          <w:szCs w:val="20"/>
        </w:rPr>
        <w:t xml:space="preserve">Fixed-price build (3–10 weeks): defined scope, milestone payments, runbook and handover included.</w:t>
      </w:r>
    </w:p>
    <w:p>
      <w:pPr>
        <w:pStyle w:val="ListParagraph"/>
        <w:numPr>
          <w:ilvl w:val="0"/>
          <w:numId w:val="2"/>
        </w:numPr>
        <w:spacing w:after="60" w:line="276"/>
      </w:pPr>
      <w:r>
        <w:rPr>
          <w:rFonts w:ascii="Arial" w:cs="Arial" w:eastAsia="Arial" w:hAnsi="Arial"/>
          <w:color w:val="1F2937"/>
          <w:sz w:val="20"/>
          <w:szCs w:val="20"/>
        </w:rPr>
        <w:t xml:space="preserve">Managed retainer (monthly): Nexrai maintains, monitors, and improves the system. Includes incident response, monthly performance review, and model updates.</w:t>
      </w:r>
    </w:p>
    <w:p>
      <w:pPr>
        <w:pStyle w:val="ListParagraph"/>
        <w:numPr>
          <w:ilvl w:val="0"/>
          <w:numId w:val="2"/>
        </w:numPr>
        <w:spacing w:after="60" w:line="276"/>
      </w:pPr>
      <w:r>
        <w:rPr>
          <w:rFonts w:ascii="Arial" w:cs="Arial" w:eastAsia="Arial" w:hAnsi="Arial"/>
          <w:color w:val="1F2937"/>
          <w:sz w:val="20"/>
          <w:szCs w:val="20"/>
        </w:rPr>
        <w:t xml:space="preserve">Audit and roadmap (2-day engagement): for clients who want an AI readiness assessment before committing to a build.</w:t>
      </w:r>
    </w:p>
    <w:p>
      <w:pPr>
        <w:spacing w:after="0" w:before="80"/>
      </w:pPr>
      <w:r>
        <w:t xml:space="preserve"/>
      </w:r>
    </w:p>
    <w:p>
      <w:pPr>
        <w:pStyle w:val="Heading1"/>
        <w:pBdr>
          <w:bottom w:val="single" w:color="0E8A8A" w:sz="6" w:space="4"/>
        </w:pBdr>
        <w:spacing w:after="120" w:before="280"/>
      </w:pPr>
      <w:r>
        <w:rPr>
          <w:rFonts w:ascii="Arial" w:cs="Arial" w:eastAsia="Arial" w:hAnsi="Arial"/>
          <w:b/>
          <w:bCs/>
          <w:color w:val="0E2A47"/>
          <w:sz w:val="30"/>
          <w:szCs w:val="30"/>
        </w:rPr>
        <w:t xml:space="preserve">4.  Technology</w:t>
      </w:r>
    </w:p>
    <w:p>
      <w:pPr>
        <w:spacing w:after="120" w:line="276"/>
        <w:jc w:val="both"/>
      </w:pPr>
      <w:r>
        <w:rPr>
          <w:rFonts w:ascii="Arial" w:cs="Arial" w:eastAsia="Arial" w:hAnsi="Arial"/>
          <w:b w:val="false"/>
          <w:bCs w:val="false"/>
          <w:color w:val="1F2937"/>
          <w:sz w:val="20"/>
          <w:szCs w:val="20"/>
        </w:rPr>
        <w:t xml:space="preserve">We do not have a proprietary AI platform. We are intentional about this. Our value is in the integration work, the safety patterns, the domain adaptation, and the ongoing tuning — not in reinventing infrastructure that frontier AI providers build better than we can.</w:t>
      </w:r>
    </w:p>
    <w:p>
      <w:pPr>
        <w:pStyle w:val="Heading2"/>
        <w:spacing w:after="80" w:before="200"/>
      </w:pPr>
      <w:r>
        <w:rPr>
          <w:rFonts w:ascii="Arial" w:cs="Arial" w:eastAsia="Arial" w:hAnsi="Arial"/>
          <w:b/>
          <w:bCs/>
          <w:color w:val="0E8A8A"/>
          <w:sz w:val="24"/>
          <w:szCs w:val="24"/>
        </w:rPr>
        <w:t xml:space="preserve">AI and language models</w:t>
      </w:r>
    </w:p>
    <w:p>
      <w:pPr>
        <w:pStyle w:val="ListParagraph"/>
        <w:numPr>
          <w:ilvl w:val="0"/>
          <w:numId w:val="2"/>
        </w:numPr>
        <w:spacing w:after="60" w:line="276"/>
      </w:pPr>
      <w:r>
        <w:rPr>
          <w:rFonts w:ascii="Arial" w:cs="Arial" w:eastAsia="Arial" w:hAnsi="Arial"/>
          <w:color w:val="1F2937"/>
          <w:sz w:val="20"/>
          <w:szCs w:val="20"/>
        </w:rPr>
        <w:t xml:space="preserve">Primary LLM: Claude (Anthropic) — preferred for regulated domains due to instruction-following reliability and the availability of EU data-processing endpoints.</w:t>
      </w:r>
    </w:p>
    <w:p>
      <w:pPr>
        <w:pStyle w:val="ListParagraph"/>
        <w:numPr>
          <w:ilvl w:val="0"/>
          <w:numId w:val="2"/>
        </w:numPr>
        <w:spacing w:after="60" w:line="276"/>
      </w:pPr>
      <w:r>
        <w:rPr>
          <w:rFonts w:ascii="Arial" w:cs="Arial" w:eastAsia="Arial" w:hAnsi="Arial"/>
          <w:color w:val="1F2937"/>
          <w:sz w:val="20"/>
          <w:szCs w:val="20"/>
        </w:rPr>
        <w:t xml:space="preserve">Secondary: OpenAI GPT-4o — used where client contracts require it or for specific tool-calling workloads.</w:t>
      </w:r>
    </w:p>
    <w:p>
      <w:pPr>
        <w:pStyle w:val="ListParagraph"/>
        <w:numPr>
          <w:ilvl w:val="0"/>
          <w:numId w:val="2"/>
        </w:numPr>
        <w:spacing w:after="60" w:line="276"/>
      </w:pPr>
      <w:r>
        <w:rPr>
          <w:rFonts w:ascii="Arial" w:cs="Arial" w:eastAsia="Arial" w:hAnsi="Arial"/>
          <w:color w:val="1F2937"/>
          <w:sz w:val="20"/>
          <w:szCs w:val="20"/>
        </w:rPr>
        <w:t xml:space="preserve">Embedding: text-embedding-3-small (OpenAI) or Cohere Embed 3 for multilingual corpora.</w:t>
      </w:r>
    </w:p>
    <w:p>
      <w:pPr>
        <w:pStyle w:val="Heading2"/>
        <w:spacing w:after="80" w:before="200"/>
      </w:pPr>
      <w:r>
        <w:rPr>
          <w:rFonts w:ascii="Arial" w:cs="Arial" w:eastAsia="Arial" w:hAnsi="Arial"/>
          <w:b/>
          <w:bCs/>
          <w:color w:val="0E8A8A"/>
          <w:sz w:val="24"/>
          <w:szCs w:val="24"/>
        </w:rPr>
        <w:t xml:space="preserve">Voice infrastructure</w:t>
      </w:r>
    </w:p>
    <w:p>
      <w:pPr>
        <w:pStyle w:val="ListParagraph"/>
        <w:numPr>
          <w:ilvl w:val="0"/>
          <w:numId w:val="2"/>
        </w:numPr>
        <w:spacing w:after="60" w:line="276"/>
      </w:pPr>
      <w:r>
        <w:rPr>
          <w:rFonts w:ascii="Arial" w:cs="Arial" w:eastAsia="Arial" w:hAnsi="Arial"/>
          <w:color w:val="1F2937"/>
          <w:sz w:val="20"/>
          <w:szCs w:val="20"/>
        </w:rPr>
        <w:t xml:space="preserve">Telephony: Twilio Voice (HIPAA-eligible, BAA available) and Sipgate (DE/EU).</w:t>
      </w:r>
    </w:p>
    <w:p>
      <w:pPr>
        <w:pStyle w:val="ListParagraph"/>
        <w:numPr>
          <w:ilvl w:val="0"/>
          <w:numId w:val="2"/>
        </w:numPr>
        <w:spacing w:after="60" w:line="276"/>
      </w:pPr>
      <w:r>
        <w:rPr>
          <w:rFonts w:ascii="Arial" w:cs="Arial" w:eastAsia="Arial" w:hAnsi="Arial"/>
          <w:color w:val="1F2937"/>
          <w:sz w:val="20"/>
          <w:szCs w:val="20"/>
        </w:rPr>
        <w:t xml:space="preserve">Speech-to-text: Deepgram Nova-2 (German and English, GDPR-compliant EU region).</w:t>
      </w:r>
    </w:p>
    <w:p>
      <w:pPr>
        <w:pStyle w:val="ListParagraph"/>
        <w:numPr>
          <w:ilvl w:val="0"/>
          <w:numId w:val="2"/>
        </w:numPr>
        <w:spacing w:after="60" w:line="276"/>
      </w:pPr>
      <w:r>
        <w:rPr>
          <w:rFonts w:ascii="Arial" w:cs="Arial" w:eastAsia="Arial" w:hAnsi="Arial"/>
          <w:color w:val="1F2937"/>
          <w:sz w:val="20"/>
          <w:szCs w:val="20"/>
        </w:rPr>
        <w:t xml:space="preserve">Text-to-speech: ElevenLabs Multilingual v2 for natural voice; Azure Neural TTS as fallback.</w:t>
      </w:r>
    </w:p>
    <w:p>
      <w:pPr>
        <w:pStyle w:val="Heading2"/>
        <w:spacing w:after="80" w:before="200"/>
      </w:pPr>
      <w:r>
        <w:rPr>
          <w:rFonts w:ascii="Arial" w:cs="Arial" w:eastAsia="Arial" w:hAnsi="Arial"/>
          <w:b/>
          <w:bCs/>
          <w:color w:val="0E8A8A"/>
          <w:sz w:val="24"/>
          <w:szCs w:val="24"/>
        </w:rPr>
        <w:t xml:space="preserve">Data and retrieval</w:t>
      </w:r>
    </w:p>
    <w:p>
      <w:pPr>
        <w:pStyle w:val="ListParagraph"/>
        <w:numPr>
          <w:ilvl w:val="0"/>
          <w:numId w:val="2"/>
        </w:numPr>
        <w:spacing w:after="60" w:line="276"/>
      </w:pPr>
      <w:r>
        <w:rPr>
          <w:rFonts w:ascii="Arial" w:cs="Arial" w:eastAsia="Arial" w:hAnsi="Arial"/>
          <w:color w:val="1F2937"/>
          <w:sz w:val="20"/>
          <w:szCs w:val="20"/>
        </w:rPr>
        <w:t xml:space="preserve">Vector store: pgvector on Postgres (preferred — no migration required for clients already on Postgres) or Qdrant for dedicated deployments.</w:t>
      </w:r>
    </w:p>
    <w:p>
      <w:pPr>
        <w:pStyle w:val="ListParagraph"/>
        <w:numPr>
          <w:ilvl w:val="0"/>
          <w:numId w:val="2"/>
        </w:numPr>
        <w:spacing w:after="60" w:line="276"/>
      </w:pPr>
      <w:r>
        <w:rPr>
          <w:rFonts w:ascii="Arial" w:cs="Arial" w:eastAsia="Arial" w:hAnsi="Arial"/>
          <w:color w:val="1F2937"/>
          <w:sz w:val="20"/>
          <w:szCs w:val="20"/>
        </w:rPr>
        <w:t xml:space="preserve">Retrieval framework: LlamaIndex for indexing pipelines; custom retrieval chains for latency-sensitive voice workloads.</w:t>
      </w:r>
    </w:p>
    <w:p>
      <w:pPr>
        <w:pStyle w:val="Heading2"/>
        <w:spacing w:after="80" w:before="200"/>
      </w:pPr>
      <w:r>
        <w:rPr>
          <w:rFonts w:ascii="Arial" w:cs="Arial" w:eastAsia="Arial" w:hAnsi="Arial"/>
          <w:b/>
          <w:bCs/>
          <w:color w:val="0E8A8A"/>
          <w:sz w:val="24"/>
          <w:szCs w:val="24"/>
        </w:rPr>
        <w:t xml:space="preserve">Integrations we have live in production</w:t>
      </w:r>
    </w:p>
    <w:p>
      <w:pPr>
        <w:pStyle w:val="ListParagraph"/>
        <w:numPr>
          <w:ilvl w:val="0"/>
          <w:numId w:val="2"/>
        </w:numPr>
        <w:spacing w:after="60" w:line="276"/>
      </w:pPr>
      <w:r>
        <w:rPr>
          <w:rFonts w:ascii="Arial" w:cs="Arial" w:eastAsia="Arial" w:hAnsi="Arial"/>
          <w:color w:val="1F2937"/>
          <w:sz w:val="20"/>
          <w:szCs w:val="20"/>
        </w:rPr>
        <w:t xml:space="preserve">CRM and ticketing: Front, Intercom, HubSpot, Freshdesk</w:t>
      </w:r>
    </w:p>
    <w:p>
      <w:pPr>
        <w:pStyle w:val="ListParagraph"/>
        <w:numPr>
          <w:ilvl w:val="0"/>
          <w:numId w:val="2"/>
        </w:numPr>
        <w:spacing w:after="60" w:line="276"/>
      </w:pPr>
      <w:r>
        <w:rPr>
          <w:rFonts w:ascii="Arial" w:cs="Arial" w:eastAsia="Arial" w:hAnsi="Arial"/>
          <w:color w:val="1F2937"/>
          <w:sz w:val="20"/>
          <w:szCs w:val="20"/>
        </w:rPr>
        <w:t xml:space="preserve">Calendar: Google Calendar API, Calendly, Dampsoft (CalDAV), Theorg</w:t>
      </w:r>
    </w:p>
    <w:p>
      <w:pPr>
        <w:pStyle w:val="ListParagraph"/>
        <w:numPr>
          <w:ilvl w:val="0"/>
          <w:numId w:val="2"/>
        </w:numPr>
        <w:spacing w:after="60" w:line="276"/>
      </w:pPr>
      <w:r>
        <w:rPr>
          <w:rFonts w:ascii="Arial" w:cs="Arial" w:eastAsia="Arial" w:hAnsi="Arial"/>
          <w:color w:val="1F2937"/>
          <w:sz w:val="20"/>
          <w:szCs w:val="20"/>
        </w:rPr>
        <w:t xml:space="preserve">Marketing: Klaviyo, Shopify, Twilio SMS, SendGrid</w:t>
      </w:r>
    </w:p>
    <w:p>
      <w:pPr>
        <w:pStyle w:val="ListParagraph"/>
        <w:numPr>
          <w:ilvl w:val="0"/>
          <w:numId w:val="2"/>
        </w:numPr>
        <w:spacing w:after="60" w:line="276"/>
      </w:pPr>
      <w:r>
        <w:rPr>
          <w:rFonts w:ascii="Arial" w:cs="Arial" w:eastAsia="Arial" w:hAnsi="Arial"/>
          <w:color w:val="1F2937"/>
          <w:sz w:val="20"/>
          <w:szCs w:val="20"/>
        </w:rPr>
        <w:t xml:space="preserve">Logistics and TMS: CargoWise (read-only), Descartes (read-only)</w:t>
      </w:r>
    </w:p>
    <w:p>
      <w:pPr>
        <w:pStyle w:val="ListParagraph"/>
        <w:numPr>
          <w:ilvl w:val="0"/>
          <w:numId w:val="2"/>
        </w:numPr>
        <w:spacing w:after="60" w:line="276"/>
      </w:pPr>
      <w:r>
        <w:rPr>
          <w:rFonts w:ascii="Arial" w:cs="Arial" w:eastAsia="Arial" w:hAnsi="Arial"/>
          <w:color w:val="1F2937"/>
          <w:sz w:val="20"/>
          <w:szCs w:val="20"/>
        </w:rPr>
        <w:t xml:space="preserve">EHR / practice management: SimplePractice (webhook), Theorg (CalDAV)</w:t>
      </w:r>
    </w:p>
    <w:p>
      <w:pPr>
        <w:spacing w:after="0" w:before="80"/>
      </w:pPr>
      <w:r>
        <w:t xml:space="preserve"/>
      </w:r>
    </w:p>
    <w:p>
      <w:pPr>
        <w:pStyle w:val="Heading1"/>
        <w:pBdr>
          <w:bottom w:val="single" w:color="0E8A8A" w:sz="6" w:space="4"/>
        </w:pBdr>
        <w:spacing w:after="120" w:before="280"/>
      </w:pPr>
      <w:r>
        <w:rPr>
          <w:rFonts w:ascii="Arial" w:cs="Arial" w:eastAsia="Arial" w:hAnsi="Arial"/>
          <w:b/>
          <w:bCs/>
          <w:color w:val="0E2A47"/>
          <w:sz w:val="30"/>
          <w:szCs w:val="30"/>
        </w:rPr>
        <w:t xml:space="preserve">5.  Compliance and Safety</w:t>
      </w:r>
    </w:p>
    <w:p>
      <w:pPr>
        <w:spacing w:after="120" w:line="276"/>
        <w:jc w:val="both"/>
      </w:pPr>
      <w:r>
        <w:rPr>
          <w:rFonts w:ascii="Arial" w:cs="Arial" w:eastAsia="Arial" w:hAnsi="Arial"/>
          <w:b w:val="false"/>
          <w:bCs w:val="false"/>
          <w:color w:val="1F2937"/>
          <w:sz w:val="20"/>
          <w:szCs w:val="20"/>
        </w:rPr>
        <w:t xml:space="preserve">Compliance is not a checklist item for Nexrai. It is a constraint that shapes the architecture from day one. We have delivered engagements under HIPAA (US healthcare), GDPR (EU general), and healthcare data-minimisation requirements (DE), and we maintain template documentation for each.</w:t>
      </w:r>
    </w:p>
    <w:p>
      <w:pPr>
        <w:pStyle w:val="Heading2"/>
        <w:spacing w:after="80" w:before="200"/>
      </w:pPr>
      <w:r>
        <w:rPr>
          <w:rFonts w:ascii="Arial" w:cs="Arial" w:eastAsia="Arial" w:hAnsi="Arial"/>
          <w:b/>
          <w:bCs/>
          <w:color w:val="0E8A8A"/>
          <w:sz w:val="24"/>
          <w:szCs w:val="24"/>
        </w:rPr>
        <w:t xml:space="preserve">HIPAA</w:t>
      </w:r>
    </w:p>
    <w:p>
      <w:pPr>
        <w:pStyle w:val="ListParagraph"/>
        <w:numPr>
          <w:ilvl w:val="0"/>
          <w:numId w:val="2"/>
        </w:numPr>
        <w:spacing w:after="60" w:line="276"/>
      </w:pPr>
      <w:r>
        <w:rPr>
          <w:rFonts w:ascii="Arial" w:cs="Arial" w:eastAsia="Arial" w:hAnsi="Arial"/>
          <w:color w:val="1F2937"/>
          <w:sz w:val="20"/>
          <w:szCs w:val="20"/>
        </w:rPr>
        <w:t xml:space="preserve">All engagements for US healthcare clients use HIPAA-eligible infrastructure only. BAA execution with Twilio, Anthropic (enterprise tier), Deepgram, and AWS is a precondition to build start.</w:t>
      </w:r>
    </w:p>
    <w:p>
      <w:pPr>
        <w:pStyle w:val="ListParagraph"/>
        <w:numPr>
          <w:ilvl w:val="0"/>
          <w:numId w:val="2"/>
        </w:numPr>
        <w:spacing w:after="60" w:line="276"/>
      </w:pPr>
      <w:r>
        <w:rPr>
          <w:rFonts w:ascii="Arial" w:cs="Arial" w:eastAsia="Arial" w:hAnsi="Arial"/>
          <w:color w:val="1F2937"/>
          <w:sz w:val="20"/>
          <w:szCs w:val="20"/>
        </w:rPr>
        <w:t xml:space="preserve">No PHI in prompt logs, vector metadata, or unencrypted storage. Call recordings stored with AES-256 at rest and auto-deleted after 90 days by default.</w:t>
      </w:r>
    </w:p>
    <w:p>
      <w:pPr>
        <w:pStyle w:val="ListParagraph"/>
        <w:numPr>
          <w:ilvl w:val="0"/>
          <w:numId w:val="2"/>
        </w:numPr>
        <w:spacing w:after="60" w:line="276"/>
      </w:pPr>
      <w:r>
        <w:rPr>
          <w:rFonts w:ascii="Arial" w:cs="Arial" w:eastAsia="Arial" w:hAnsi="Arial"/>
          <w:color w:val="1F2937"/>
          <w:sz w:val="20"/>
          <w:szCs w:val="20"/>
        </w:rPr>
        <w:t xml:space="preserve">Role-based access controls on all admin interfaces. Audit trail on every interaction.</w:t>
      </w:r>
    </w:p>
    <w:p>
      <w:pPr>
        <w:pStyle w:val="Heading2"/>
        <w:spacing w:after="80" w:before="200"/>
      </w:pPr>
      <w:r>
        <w:rPr>
          <w:rFonts w:ascii="Arial" w:cs="Arial" w:eastAsia="Arial" w:hAnsi="Arial"/>
          <w:b/>
          <w:bCs/>
          <w:color w:val="0E8A8A"/>
          <w:sz w:val="24"/>
          <w:szCs w:val="24"/>
        </w:rPr>
        <w:t xml:space="preserve">GDPR</w:t>
      </w:r>
    </w:p>
    <w:p>
      <w:pPr>
        <w:pStyle w:val="ListParagraph"/>
        <w:numPr>
          <w:ilvl w:val="0"/>
          <w:numId w:val="2"/>
        </w:numPr>
        <w:spacing w:after="60" w:line="276"/>
      </w:pPr>
      <w:r>
        <w:rPr>
          <w:rFonts w:ascii="Arial" w:cs="Arial" w:eastAsia="Arial" w:hAnsi="Arial"/>
          <w:color w:val="1F2937"/>
          <w:sz w:val="20"/>
          <w:szCs w:val="20"/>
        </w:rPr>
        <w:t xml:space="preserve">EU-based data processing by default. All primary vendors (Deepgram EU, Anthropic EU endpoint, ElevenLabs EU) operate under Standard Contractual Clauses.</w:t>
      </w:r>
    </w:p>
    <w:p>
      <w:pPr>
        <w:pStyle w:val="ListParagraph"/>
        <w:numPr>
          <w:ilvl w:val="0"/>
          <w:numId w:val="2"/>
        </w:numPr>
        <w:spacing w:after="60" w:line="276"/>
      </w:pPr>
      <w:r>
        <w:rPr>
          <w:rFonts w:ascii="Arial" w:cs="Arial" w:eastAsia="Arial" w:hAnsi="Arial"/>
          <w:color w:val="1F2937"/>
          <w:sz w:val="20"/>
          <w:szCs w:val="20"/>
        </w:rPr>
        <w:t xml:space="preserve">Data Processing Agreements (DPAs / Auftragsverarbeitungsverträge) available for all vendor relationships.</w:t>
      </w:r>
    </w:p>
    <w:p>
      <w:pPr>
        <w:pStyle w:val="ListParagraph"/>
        <w:numPr>
          <w:ilvl w:val="0"/>
          <w:numId w:val="2"/>
        </w:numPr>
        <w:spacing w:after="60" w:line="276"/>
      </w:pPr>
      <w:r>
        <w:rPr>
          <w:rFonts w:ascii="Arial" w:cs="Arial" w:eastAsia="Arial" w:hAnsi="Arial"/>
          <w:color w:val="1F2937"/>
          <w:sz w:val="20"/>
          <w:szCs w:val="20"/>
        </w:rPr>
        <w:t xml:space="preserve">Right-to-erasure pipeline for voice and chat interaction logs.</w:t>
      </w:r>
    </w:p>
    <w:p>
      <w:pPr>
        <w:pStyle w:val="Heading2"/>
        <w:spacing w:after="80" w:before="200"/>
      </w:pPr>
      <w:r>
        <w:rPr>
          <w:rFonts w:ascii="Arial" w:cs="Arial" w:eastAsia="Arial" w:hAnsi="Arial"/>
          <w:b/>
          <w:bCs/>
          <w:color w:val="0E8A8A"/>
          <w:sz w:val="24"/>
          <w:szCs w:val="24"/>
        </w:rPr>
        <w:t xml:space="preserve">AI safety principles</w:t>
      </w:r>
    </w:p>
    <w:p>
      <w:pPr>
        <w:pStyle w:val="ListParagraph"/>
        <w:numPr>
          <w:ilvl w:val="0"/>
          <w:numId w:val="2"/>
        </w:numPr>
        <w:spacing w:after="60" w:line="276"/>
      </w:pPr>
      <w:r>
        <w:rPr>
          <w:rFonts w:ascii="Arial" w:cs="Arial" w:eastAsia="Arial" w:hAnsi="Arial"/>
          <w:color w:val="1F2937"/>
          <w:sz w:val="20"/>
          <w:szCs w:val="20"/>
        </w:rPr>
        <w:t xml:space="preserve">No clinical advice, legal advice, or financial advice from AI agents — ever. Hard guardrails, not prompt-only.</w:t>
      </w:r>
    </w:p>
    <w:p>
      <w:pPr>
        <w:pStyle w:val="ListParagraph"/>
        <w:numPr>
          <w:ilvl w:val="0"/>
          <w:numId w:val="2"/>
        </w:numPr>
        <w:spacing w:after="60" w:line="276"/>
      </w:pPr>
      <w:r>
        <w:rPr>
          <w:rFonts w:ascii="Arial" w:cs="Arial" w:eastAsia="Arial" w:hAnsi="Arial"/>
          <w:color w:val="1F2937"/>
          <w:sz w:val="20"/>
          <w:szCs w:val="20"/>
        </w:rPr>
        <w:t xml:space="preserve">Crisis escalation protocols built into every healthcare and consumer-facing engagement as a Must Have, not an option.</w:t>
      </w:r>
    </w:p>
    <w:p>
      <w:pPr>
        <w:pStyle w:val="ListParagraph"/>
        <w:numPr>
          <w:ilvl w:val="0"/>
          <w:numId w:val="2"/>
        </w:numPr>
        <w:spacing w:after="60" w:line="276"/>
      </w:pPr>
      <w:r>
        <w:rPr>
          <w:rFonts w:ascii="Arial" w:cs="Arial" w:eastAsia="Arial" w:hAnsi="Arial"/>
          <w:color w:val="1F2937"/>
          <w:sz w:val="20"/>
          <w:szCs w:val="20"/>
        </w:rPr>
        <w:t xml:space="preserve">Refusal over fabrication: when retrieval confidence is low, agents decline to answer and escalate rather than generating ungrounded content.</w:t>
      </w:r>
    </w:p>
    <w:p>
      <w:pPr>
        <w:spacing w:after="0" w:before="80"/>
      </w:pPr>
      <w:r>
        <w:t xml:space="preserve"/>
      </w:r>
    </w:p>
    <w:p>
      <w:pPr>
        <w:pStyle w:val="Heading1"/>
        <w:pBdr>
          <w:bottom w:val="single" w:color="0E8A8A" w:sz="6" w:space="4"/>
        </w:pBdr>
        <w:spacing w:after="120" w:before="280"/>
      </w:pPr>
      <w:r>
        <w:rPr>
          <w:rFonts w:ascii="Arial" w:cs="Arial" w:eastAsia="Arial" w:hAnsi="Arial"/>
          <w:b/>
          <w:bCs/>
          <w:color w:val="0E2A47"/>
          <w:sz w:val="30"/>
          <w:szCs w:val="30"/>
        </w:rPr>
        <w:t xml:space="preserve">6.  Selected Past Engagements</w:t>
      </w:r>
    </w:p>
    <w:p>
      <w:pPr>
        <w:spacing w:after="120" w:line="276"/>
        <w:jc w:val="both"/>
      </w:pPr>
      <w:r>
        <w:rPr>
          <w:rFonts w:ascii="Arial" w:cs="Arial" w:eastAsia="Arial" w:hAnsi="Arial"/>
          <w:b w:val="false"/>
          <w:bCs w:val="false"/>
          <w:color w:val="1F2937"/>
          <w:sz w:val="20"/>
          <w:szCs w:val="20"/>
        </w:rPr>
        <w:t xml:space="preserve">Full case studies are available as separate documents. Summary below.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Borders>
              <w:top w:val="single" w:color="0E2A47" w:sz="1"/>
              <w:left w:val="single" w:color="0E2A47" w:sz="1"/>
              <w:bottom w:val="single" w:color="0E2A47" w:sz="1"/>
              <w:right w:val="single" w:color="0E2A47" w:sz="1"/>
            </w:tcBorders>
            <w:shd w:fill="0E2A47" w:val="clear"/>
            <w:tcMar>
              <w:top w:type="dxa" w:w="70"/>
              <w:left w:type="dxa" w:w="100"/>
              <w:bottom w:type="dxa" w:w="70"/>
              <w:right w:type="dxa" w:w="100"/>
            </w:tcMar>
          </w:tcPr>
          <w:p>
            <w:r>
              <w:rPr>
                <w:rFonts w:ascii="Arial" w:cs="Arial" w:eastAsia="Arial" w:hAnsi="Arial"/>
                <w:b/>
                <w:bCs/>
                <w:color w:val="FFFFFF"/>
                <w:sz w:val="17"/>
                <w:szCs w:val="17"/>
              </w:rPr>
              <w:t xml:space="preserve">Client</w:t>
            </w:r>
          </w:p>
        </w:tc>
        <w:tc>
          <w:tcPr>
            <w:tcBorders>
              <w:top w:val="single" w:color="0E2A47" w:sz="1"/>
              <w:left w:val="single" w:color="0E2A47" w:sz="1"/>
              <w:bottom w:val="single" w:color="0E2A47" w:sz="1"/>
              <w:right w:val="single" w:color="0E2A47" w:sz="1"/>
            </w:tcBorders>
            <w:shd w:fill="0E2A47" w:val="clear"/>
            <w:tcMar>
              <w:top w:type="dxa" w:w="70"/>
              <w:left w:type="dxa" w:w="100"/>
              <w:bottom w:type="dxa" w:w="70"/>
              <w:right w:type="dxa" w:w="100"/>
            </w:tcMar>
          </w:tcPr>
          <w:p>
            <w:r>
              <w:rPr>
                <w:rFonts w:ascii="Arial" w:cs="Arial" w:eastAsia="Arial" w:hAnsi="Arial"/>
                <w:b/>
                <w:bCs/>
                <w:color w:val="FFFFFF"/>
                <w:sz w:val="17"/>
                <w:szCs w:val="17"/>
              </w:rPr>
              <w:t xml:space="preserve">Industry</w:t>
            </w:r>
          </w:p>
        </w:tc>
        <w:tc>
          <w:tcPr>
            <w:tcBorders>
              <w:top w:val="single" w:color="0E2A47" w:sz="1"/>
              <w:left w:val="single" w:color="0E2A47" w:sz="1"/>
              <w:bottom w:val="single" w:color="0E2A47" w:sz="1"/>
              <w:right w:val="single" w:color="0E2A47" w:sz="1"/>
            </w:tcBorders>
            <w:shd w:fill="0E2A47" w:val="clear"/>
            <w:tcMar>
              <w:top w:type="dxa" w:w="70"/>
              <w:left w:type="dxa" w:w="100"/>
              <w:bottom w:type="dxa" w:w="70"/>
              <w:right w:type="dxa" w:w="100"/>
            </w:tcMar>
          </w:tcPr>
          <w:p>
            <w:r>
              <w:rPr>
                <w:rFonts w:ascii="Arial" w:cs="Arial" w:eastAsia="Arial" w:hAnsi="Arial"/>
                <w:b/>
                <w:bCs/>
                <w:color w:val="FFFFFF"/>
                <w:sz w:val="17"/>
                <w:szCs w:val="17"/>
              </w:rPr>
              <w:t xml:space="preserve">Service</w:t>
            </w:r>
          </w:p>
        </w:tc>
        <w:tc>
          <w:tcPr>
            <w:tcBorders>
              <w:top w:val="single" w:color="0E2A47" w:sz="1"/>
              <w:left w:val="single" w:color="0E2A47" w:sz="1"/>
              <w:bottom w:val="single" w:color="0E2A47" w:sz="1"/>
              <w:right w:val="single" w:color="0E2A47" w:sz="1"/>
            </w:tcBorders>
            <w:shd w:fill="0E2A47" w:val="clear"/>
            <w:tcMar>
              <w:top w:type="dxa" w:w="70"/>
              <w:left w:type="dxa" w:w="100"/>
              <w:bottom w:type="dxa" w:w="70"/>
              <w:right w:type="dxa" w:w="100"/>
            </w:tcMar>
          </w:tcPr>
          <w:p>
            <w:r>
              <w:rPr>
                <w:rFonts w:ascii="Arial" w:cs="Arial" w:eastAsia="Arial" w:hAnsi="Arial"/>
                <w:b/>
                <w:bCs/>
                <w:color w:val="FFFFFF"/>
                <w:sz w:val="17"/>
                <w:szCs w:val="17"/>
              </w:rPr>
              <w:t xml:space="preserve">Key Result</w:t>
            </w:r>
          </w:p>
        </w:tc>
      </w:tr>
      <w:tr>
        <w:tc>
          <w:tcPr>
            <w:tcW w:type="dxa" w:w="220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Praxis a.E. Garten, Munich</w:t>
            </w:r>
          </w:p>
        </w:tc>
        <w:tc>
          <w:tcPr>
            <w:tcW w:type="dxa" w:w="200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Physiotherapy</w:t>
            </w:r>
          </w:p>
        </w:tc>
        <w:tc>
          <w:tcPr>
            <w:tcW w:type="dxa" w:w="220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Voice Receptionist</w:t>
            </w:r>
          </w:p>
        </w:tc>
        <w:tc>
          <w:tcPr>
            <w:tcW w:type="dxa" w:w="296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96% call answer rate; +8.4% fill rate</w:t>
            </w:r>
          </w:p>
        </w:tc>
      </w:tr>
      <w:tr>
        <w:tc>
          <w:tcPr>
            <w:tcW w:type="dxa" w:w="220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Lieblingsglow, Berlin</w:t>
            </w:r>
          </w:p>
        </w:tc>
        <w:tc>
          <w:tcPr>
            <w:tcW w:type="dxa" w:w="200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DTC Skincare</w:t>
            </w:r>
          </w:p>
        </w:tc>
        <w:tc>
          <w:tcPr>
            <w:tcW w:type="dxa" w:w="220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Marketing Automation</w:t>
            </w:r>
          </w:p>
        </w:tc>
        <w:tc>
          <w:tcPr>
            <w:tcW w:type="dxa" w:w="296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+22% email revenue; 3.2x subscription conversion</w:t>
            </w:r>
          </w:p>
        </w:tc>
      </w:tr>
      <w:tr>
        <w:tc>
          <w:tcPr>
            <w:tcW w:type="dxa" w:w="220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Coilforge (B2B SaaS)</w:t>
            </w:r>
          </w:p>
        </w:tc>
        <w:tc>
          <w:tcPr>
            <w:tcW w:type="dxa" w:w="200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Developer Tooling</w:t>
            </w:r>
          </w:p>
        </w:tc>
        <w:tc>
          <w:tcPr>
            <w:tcW w:type="dxa" w:w="220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Support Agent</w:t>
            </w:r>
          </w:p>
        </w:tc>
        <w:tc>
          <w:tcPr>
            <w:tcW w:type="dxa" w:w="296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44% deflection; 0 hallucinations in 10 months</w:t>
            </w:r>
          </w:p>
        </w:tc>
      </w:tr>
      <w:tr>
        <w:tc>
          <w:tcPr>
            <w:tcW w:type="dxa" w:w="220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Hekkers Customs, Rotterdam</w:t>
            </w:r>
          </w:p>
        </w:tc>
        <w:tc>
          <w:tcPr>
            <w:tcW w:type="dxa" w:w="200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Freight / Customs</w:t>
            </w:r>
          </w:p>
        </w:tc>
        <w:tc>
          <w:tcPr>
            <w:tcW w:type="dxa" w:w="220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Agentic Workflow</w:t>
            </w:r>
          </w:p>
        </w:tc>
        <w:tc>
          <w:tcPr>
            <w:tcW w:type="dxa" w:w="296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4.1x faster declarations; 87% first-pass accuracy</w:t>
            </w:r>
          </w:p>
        </w:tc>
      </w:tr>
      <w:tr>
        <w:tc>
          <w:tcPr>
            <w:tcW w:type="dxa" w:w="220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Steuerkanzlei Bauer, Frankfurt</w:t>
            </w:r>
          </w:p>
        </w:tc>
        <w:tc>
          <w:tcPr>
            <w:tcW w:type="dxa" w:w="200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Tax Advisory</w:t>
            </w:r>
          </w:p>
        </w:tc>
        <w:tc>
          <w:tcPr>
            <w:tcW w:type="dxa" w:w="220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Voice Receptionist</w:t>
            </w:r>
          </w:p>
        </w:tc>
        <w:tc>
          <w:tcPr>
            <w:tcW w:type="dxa" w:w="296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60% reduction in repeat status calls</w:t>
            </w:r>
          </w:p>
        </w:tc>
      </w:tr>
      <w:tr>
        <w:tc>
          <w:tcPr>
            <w:tcW w:type="dxa" w:w="220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TierMed Cologne</w:t>
            </w:r>
          </w:p>
        </w:tc>
        <w:tc>
          <w:tcPr>
            <w:tcW w:type="dxa" w:w="200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Veterinary</w:t>
            </w:r>
          </w:p>
        </w:tc>
        <w:tc>
          <w:tcPr>
            <w:tcW w:type="dxa" w:w="220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Voice Receptionist</w:t>
            </w:r>
          </w:p>
        </w:tc>
        <w:tc>
          <w:tcPr>
            <w:tcW w:type="dxa" w:w="296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24/7 triage; 0 clinical-advice incidents</w:t>
            </w:r>
          </w:p>
        </w:tc>
      </w:tr>
      <w:tr>
        <w:tc>
          <w:tcPr>
            <w:tcW w:type="dxa" w:w="220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Craft Tea Importer, Vienna</w:t>
            </w:r>
          </w:p>
        </w:tc>
        <w:tc>
          <w:tcPr>
            <w:tcW w:type="dxa" w:w="200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DTC FMCG</w:t>
            </w:r>
          </w:p>
        </w:tc>
        <w:tc>
          <w:tcPr>
            <w:tcW w:type="dxa" w:w="220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Marketing Automation</w:t>
            </w:r>
          </w:p>
        </w:tc>
        <w:tc>
          <w:tcPr>
            <w:tcW w:type="dxa" w:w="2960"/>
            <w:tcBorders>
              <w:top w:val="single" w:color="D6DEE8" w:sz="1"/>
              <w:left w:val="single" w:color="D6DEE8" w:sz="1"/>
              <w:bottom w:val="single" w:color="D6DEE8" w:sz="1"/>
              <w:right w:val="single" w:color="D6DEE8" w:sz="1"/>
            </w:tcBorders>
            <w:shd w:fill="FFFFFF" w:val="clear"/>
            <w:tcMar>
              <w:top w:type="dxa" w:w="65"/>
              <w:left w:type="dxa" w:w="100"/>
              <w:bottom w:type="dxa" w:w="65"/>
              <w:right w:type="dxa" w:w="100"/>
            </w:tcMar>
          </w:tcPr>
          <w:p>
            <w:r>
              <w:rPr>
                <w:rFonts w:ascii="Arial" w:cs="Arial" w:eastAsia="Arial" w:hAnsi="Arial"/>
                <w:color w:val="1F2937"/>
                <w:sz w:val="17"/>
                <w:szCs w:val="17"/>
              </w:rPr>
              <w:t xml:space="preserve">+38% review collection; +14% subscription conversion</w:t>
            </w:r>
          </w:p>
        </w:tc>
      </w:tr>
      <w:tr>
        <w:tc>
          <w:tcPr>
            <w:tcW w:type="dxa" w:w="220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HR-Tech Vendor (anon)</w:t>
            </w:r>
          </w:p>
        </w:tc>
        <w:tc>
          <w:tcPr>
            <w:tcW w:type="dxa" w:w="200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B2B SaaS</w:t>
            </w:r>
          </w:p>
        </w:tc>
        <w:tc>
          <w:tcPr>
            <w:tcW w:type="dxa" w:w="220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Support Agent</w:t>
            </w:r>
          </w:p>
        </w:tc>
        <w:tc>
          <w:tcPr>
            <w:tcW w:type="dxa" w:w="2960"/>
            <w:tcBorders>
              <w:top w:val="single" w:color="D6DEE8" w:sz="1"/>
              <w:left w:val="single" w:color="D6DEE8" w:sz="1"/>
              <w:bottom w:val="single" w:color="D6DEE8" w:sz="1"/>
              <w:right w:val="single" w:color="D6DEE8" w:sz="1"/>
            </w:tcBorders>
            <w:shd w:fill="F4F7FB" w:val="clear"/>
            <w:tcMar>
              <w:top w:type="dxa" w:w="65"/>
              <w:left w:type="dxa" w:w="100"/>
              <w:bottom w:type="dxa" w:w="65"/>
              <w:right w:type="dxa" w:w="100"/>
            </w:tcMar>
          </w:tcPr>
          <w:p>
            <w:r>
              <w:rPr>
                <w:rFonts w:ascii="Arial" w:cs="Arial" w:eastAsia="Arial" w:hAnsi="Arial"/>
                <w:color w:val="1F2937"/>
                <w:sz w:val="17"/>
                <w:szCs w:val="17"/>
              </w:rPr>
              <w:t xml:space="preserve">31% deflection by month two; CSAT +9 pts</w:t>
            </w:r>
          </w:p>
        </w:tc>
      </w:tr>
    </w:tbl>
    <w:p>
      <w:pPr>
        <w:spacing w:after="0" w:before="80"/>
      </w:pPr>
      <w:r>
        <w:t xml:space="preserve"/>
      </w:r>
    </w:p>
    <w:p>
      <w:pPr>
        <w:pStyle w:val="Heading1"/>
        <w:pBdr>
          <w:bottom w:val="single" w:color="0E8A8A" w:sz="6" w:space="4"/>
        </w:pBdr>
        <w:spacing w:after="120" w:before="280"/>
      </w:pPr>
      <w:r>
        <w:rPr>
          <w:rFonts w:ascii="Arial" w:cs="Arial" w:eastAsia="Arial" w:hAnsi="Arial"/>
          <w:b/>
          <w:bCs/>
          <w:color w:val="0E2A47"/>
          <w:sz w:val="30"/>
          <w:szCs w:val="30"/>
        </w:rPr>
        <w:t xml:space="preserve">7.  The Team</w:t>
      </w:r>
    </w:p>
    <w:p>
      <w:pPr>
        <w:spacing w:after="120" w:line="276"/>
        <w:jc w:val="both"/>
      </w:pPr>
      <w:r>
        <w:rPr>
          <w:rFonts w:ascii="Arial" w:cs="Arial" w:eastAsia="Arial" w:hAnsi="Arial"/>
          <w:b w:val="false"/>
          <w:bCs w:val="false"/>
          <w:color w:val="1F2937"/>
          <w:sz w:val="20"/>
          <w:szCs w:val="20"/>
        </w:rPr>
        <w:t xml:space="preserve">Nexrai Labs is a small, senior team. Every engagement is delivered by the person who scoped it. There is no junior delivery layer, no offshore subcontracting, and no account manager between the client and the engineer doing the work.</w:t>
      </w:r>
    </w:p>
    <w:p>
      <w:pPr>
        <w:spacing w:after="0" w:before="60"/>
      </w:pPr>
      <w:r>
        <w:t xml:space="preserve"/>
      </w:r>
    </w:p>
    <w:p>
      <w:pPr>
        <w:pStyle w:val="Heading2"/>
        <w:spacing w:after="80" w:before="200"/>
      </w:pPr>
      <w:r>
        <w:rPr>
          <w:rFonts w:ascii="Arial" w:cs="Arial" w:eastAsia="Arial" w:hAnsi="Arial"/>
          <w:b/>
          <w:bCs/>
          <w:color w:val="0E8A8A"/>
          <w:sz w:val="24"/>
          <w:szCs w:val="24"/>
        </w:rPr>
        <w:t xml:space="preserve">Leila Nakamura — Founder &amp; AI Architect</w:t>
      </w:r>
    </w:p>
    <w:p>
      <w:pPr>
        <w:spacing w:after="120" w:line="276"/>
        <w:jc w:val="both"/>
      </w:pPr>
      <w:r>
        <w:rPr>
          <w:rFonts w:ascii="Arial" w:cs="Arial" w:eastAsia="Arial" w:hAnsi="Arial"/>
          <w:b/>
          <w:bCs/>
          <w:color w:val="0E8A8A"/>
          <w:sz w:val="20"/>
          <w:szCs w:val="20"/>
        </w:rPr>
        <w:t xml:space="preserve">Lead on all voice and agentic workflow engagements</w:t>
      </w:r>
    </w:p>
    <w:p>
      <w:pPr>
        <w:spacing w:after="120" w:line="276"/>
        <w:jc w:val="both"/>
      </w:pPr>
      <w:r>
        <w:rPr>
          <w:rFonts w:ascii="Arial" w:cs="Arial" w:eastAsia="Arial" w:hAnsi="Arial"/>
          <w:b w:val="false"/>
          <w:bCs w:val="false"/>
          <w:color w:val="1F2937"/>
          <w:sz w:val="20"/>
          <w:szCs w:val="20"/>
        </w:rPr>
        <w:t xml:space="preserve">Leila founded Nexrai after five years in applied ML at a German logistics platform, where she led the team that shipped the company's first production LLM integration. She holds an MSc in Computational Linguistics from TU Berlin and is a certified Anthropic implementation partner. She leads discovery, architecture, and client relationships on all engagements.</w:t>
      </w:r>
    </w:p>
    <w:p>
      <w:pPr>
        <w:pStyle w:val="ListParagraph"/>
        <w:numPr>
          <w:ilvl w:val="0"/>
          <w:numId w:val="2"/>
        </w:numPr>
        <w:spacing w:after="60" w:line="276"/>
      </w:pPr>
      <w:r>
        <w:rPr>
          <w:rFonts w:ascii="Arial" w:cs="Arial" w:eastAsia="Arial" w:hAnsi="Arial"/>
          <w:color w:val="1F2937"/>
          <w:sz w:val="20"/>
          <w:szCs w:val="20"/>
        </w:rPr>
        <w:t xml:space="preserve">LLM agent design (Claude, GPT-4o), prompt engineering and safety patterns</w:t>
      </w:r>
    </w:p>
    <w:p>
      <w:pPr>
        <w:pStyle w:val="ListParagraph"/>
        <w:numPr>
          <w:ilvl w:val="0"/>
          <w:numId w:val="2"/>
        </w:numPr>
        <w:spacing w:after="60" w:line="276"/>
      </w:pPr>
      <w:r>
        <w:rPr>
          <w:rFonts w:ascii="Arial" w:cs="Arial" w:eastAsia="Arial" w:hAnsi="Arial"/>
          <w:color w:val="1F2937"/>
          <w:sz w:val="20"/>
          <w:szCs w:val="20"/>
        </w:rPr>
        <w:t xml:space="preserve">Voice infrastructure: Twilio, Deepgram, ElevenLabs</w:t>
      </w:r>
    </w:p>
    <w:p>
      <w:pPr>
        <w:pStyle w:val="ListParagraph"/>
        <w:numPr>
          <w:ilvl w:val="0"/>
          <w:numId w:val="2"/>
        </w:numPr>
        <w:spacing w:after="60" w:line="276"/>
      </w:pPr>
      <w:r>
        <w:rPr>
          <w:rFonts w:ascii="Arial" w:cs="Arial" w:eastAsia="Arial" w:hAnsi="Arial"/>
          <w:color w:val="1F2937"/>
          <w:sz w:val="20"/>
          <w:szCs w:val="20"/>
        </w:rPr>
        <w:t xml:space="preserve">HIPAA and GDPR compliance architecture</w:t>
      </w:r>
    </w:p>
    <w:p>
      <w:pPr>
        <w:pStyle w:val="ListParagraph"/>
        <w:numPr>
          <w:ilvl w:val="0"/>
          <w:numId w:val="2"/>
        </w:numPr>
        <w:spacing w:after="60" w:line="276"/>
      </w:pPr>
      <w:r>
        <w:rPr>
          <w:rFonts w:ascii="Arial" w:cs="Arial" w:eastAsia="Arial" w:hAnsi="Arial"/>
          <w:color w:val="1F2937"/>
          <w:sz w:val="20"/>
          <w:szCs w:val="20"/>
        </w:rPr>
        <w:t xml:space="preserve">Python, FastAPI, LlamaIndex, pgvector</w:t>
      </w:r>
    </w:p>
    <w:p>
      <w:pPr>
        <w:spacing w:after="0" w:before="40"/>
      </w:pPr>
      <w:r>
        <w:t xml:space="preserve"/>
      </w:r>
    </w:p>
    <w:p>
      <w:pPr>
        <w:pStyle w:val="Heading2"/>
        <w:spacing w:after="80" w:before="200"/>
      </w:pPr>
      <w:r>
        <w:rPr>
          <w:rFonts w:ascii="Arial" w:cs="Arial" w:eastAsia="Arial" w:hAnsi="Arial"/>
          <w:b/>
          <w:bCs/>
          <w:color w:val="0E8A8A"/>
          <w:sz w:val="24"/>
          <w:szCs w:val="24"/>
        </w:rPr>
        <w:t xml:space="preserve">Tobias Kern — Senior Integration Engineer</w:t>
      </w:r>
    </w:p>
    <w:p>
      <w:pPr>
        <w:spacing w:after="120" w:line="276"/>
        <w:jc w:val="both"/>
      </w:pPr>
      <w:r>
        <w:rPr>
          <w:rFonts w:ascii="Arial" w:cs="Arial" w:eastAsia="Arial" w:hAnsi="Arial"/>
          <w:b/>
          <w:bCs/>
          <w:color w:val="0E8A8A"/>
          <w:sz w:val="20"/>
          <w:szCs w:val="20"/>
        </w:rPr>
        <w:t xml:space="preserve">Lead engineer on retrieval, integrations, and infrastructure</w:t>
      </w:r>
    </w:p>
    <w:p>
      <w:pPr>
        <w:spacing w:after="120" w:line="276"/>
        <w:jc w:val="both"/>
      </w:pPr>
      <w:r>
        <w:rPr>
          <w:rFonts w:ascii="Arial" w:cs="Arial" w:eastAsia="Arial" w:hAnsi="Arial"/>
          <w:b w:val="false"/>
          <w:bCs w:val="false"/>
          <w:color w:val="1F2937"/>
          <w:sz w:val="20"/>
          <w:szCs w:val="20"/>
        </w:rPr>
        <w:t xml:space="preserve">Tobias has eight years of backend engineering experience, the last three focused on RAG systems and API integration work. He was previously a senior engineer at a Frankfurt fintech, where he owned the external API integration layer. At Nexrai he leads the build phase of every engagement and owns all production infrastructure.</w:t>
      </w:r>
    </w:p>
    <w:p>
      <w:pPr>
        <w:pStyle w:val="ListParagraph"/>
        <w:numPr>
          <w:ilvl w:val="0"/>
          <w:numId w:val="2"/>
        </w:numPr>
        <w:spacing w:after="60" w:line="276"/>
      </w:pPr>
      <w:r>
        <w:rPr>
          <w:rFonts w:ascii="Arial" w:cs="Arial" w:eastAsia="Arial" w:hAnsi="Arial"/>
          <w:color w:val="1F2937"/>
          <w:sz w:val="20"/>
          <w:szCs w:val="20"/>
        </w:rPr>
        <w:t xml:space="preserve">RAG pipeline design: LlamaIndex, pgvector, Qdrant, embedding strategy</w:t>
      </w:r>
    </w:p>
    <w:p>
      <w:pPr>
        <w:pStyle w:val="ListParagraph"/>
        <w:numPr>
          <w:ilvl w:val="0"/>
          <w:numId w:val="2"/>
        </w:numPr>
        <w:spacing w:after="60" w:line="276"/>
      </w:pPr>
      <w:r>
        <w:rPr>
          <w:rFonts w:ascii="Arial" w:cs="Arial" w:eastAsia="Arial" w:hAnsi="Arial"/>
          <w:color w:val="1F2937"/>
          <w:sz w:val="20"/>
          <w:szCs w:val="20"/>
        </w:rPr>
        <w:t xml:space="preserve">API integrations: Klaviyo, Front, Intercom, CargoWise, Dampsoft, Theorg</w:t>
      </w:r>
    </w:p>
    <w:p>
      <w:pPr>
        <w:pStyle w:val="ListParagraph"/>
        <w:numPr>
          <w:ilvl w:val="0"/>
          <w:numId w:val="2"/>
        </w:numPr>
        <w:spacing w:after="60" w:line="276"/>
      </w:pPr>
      <w:r>
        <w:rPr>
          <w:rFonts w:ascii="Arial" w:cs="Arial" w:eastAsia="Arial" w:hAnsi="Arial"/>
          <w:color w:val="1F2937"/>
          <w:sz w:val="20"/>
          <w:szCs w:val="20"/>
        </w:rPr>
        <w:t xml:space="preserve">Python, FastAPI, Django, PostgreSQL, Redis</w:t>
      </w:r>
    </w:p>
    <w:p>
      <w:pPr>
        <w:pStyle w:val="ListParagraph"/>
        <w:numPr>
          <w:ilvl w:val="0"/>
          <w:numId w:val="2"/>
        </w:numPr>
        <w:spacing w:after="60" w:line="276"/>
      </w:pPr>
      <w:r>
        <w:rPr>
          <w:rFonts w:ascii="Arial" w:cs="Arial" w:eastAsia="Arial" w:hAnsi="Arial"/>
          <w:color w:val="1F2937"/>
          <w:sz w:val="20"/>
          <w:szCs w:val="20"/>
        </w:rPr>
        <w:t xml:space="preserve">AWS, Docker, GitHub Actions CI/CD</w:t>
      </w:r>
    </w:p>
    <w:p>
      <w:pPr>
        <w:spacing w:after="0" w:before="40"/>
      </w:pPr>
      <w:r>
        <w:t xml:space="preserve"/>
      </w:r>
    </w:p>
    <w:p>
      <w:pPr>
        <w:pStyle w:val="Heading2"/>
        <w:spacing w:after="80" w:before="200"/>
      </w:pPr>
      <w:r>
        <w:rPr>
          <w:rFonts w:ascii="Arial" w:cs="Arial" w:eastAsia="Arial" w:hAnsi="Arial"/>
          <w:b/>
          <w:bCs/>
          <w:color w:val="0E8A8A"/>
          <w:sz w:val="24"/>
          <w:szCs w:val="24"/>
        </w:rPr>
        <w:t xml:space="preserve">Annika Holm — Conversation Designer &amp; QA Lead</w:t>
      </w:r>
    </w:p>
    <w:p>
      <w:pPr>
        <w:spacing w:after="120" w:line="276"/>
        <w:jc w:val="both"/>
      </w:pPr>
      <w:r>
        <w:rPr>
          <w:rFonts w:ascii="Arial" w:cs="Arial" w:eastAsia="Arial" w:hAnsi="Arial"/>
          <w:b/>
          <w:bCs/>
          <w:color w:val="0E8A8A"/>
          <w:sz w:val="20"/>
          <w:szCs w:val="20"/>
        </w:rPr>
        <w:t xml:space="preserve">Responsible for conversation quality, voice persona design, and pre-launch testing</w:t>
      </w:r>
    </w:p>
    <w:p>
      <w:pPr>
        <w:spacing w:after="120" w:line="276"/>
        <w:jc w:val="both"/>
      </w:pPr>
      <w:r>
        <w:rPr>
          <w:rFonts w:ascii="Arial" w:cs="Arial" w:eastAsia="Arial" w:hAnsi="Arial"/>
          <w:b w:val="false"/>
          <w:bCs w:val="false"/>
          <w:color w:val="1F2937"/>
          <w:sz w:val="20"/>
          <w:szCs w:val="20"/>
        </w:rPr>
        <w:t xml:space="preserve">Annika brings a background in linguistics and UX writing to the problem of AI conversation design. She designs the system prompts, brand voice guides, and call flows for every voice and chat engagement, and leads the test-call programme that precedes every go-live. Her work is the reason clients tell us the agent sounds like it understands the business.</w:t>
      </w:r>
    </w:p>
    <w:p>
      <w:pPr>
        <w:pStyle w:val="ListParagraph"/>
        <w:numPr>
          <w:ilvl w:val="0"/>
          <w:numId w:val="2"/>
        </w:numPr>
        <w:spacing w:after="60" w:line="276"/>
      </w:pPr>
      <w:r>
        <w:rPr>
          <w:rFonts w:ascii="Arial" w:cs="Arial" w:eastAsia="Arial" w:hAnsi="Arial"/>
          <w:color w:val="1F2937"/>
          <w:sz w:val="20"/>
          <w:szCs w:val="20"/>
        </w:rPr>
        <w:t xml:space="preserve">System prompt engineering and brand voice adaptation</w:t>
      </w:r>
    </w:p>
    <w:p>
      <w:pPr>
        <w:pStyle w:val="ListParagraph"/>
        <w:numPr>
          <w:ilvl w:val="0"/>
          <w:numId w:val="2"/>
        </w:numPr>
        <w:spacing w:after="60" w:line="276"/>
      </w:pPr>
      <w:r>
        <w:rPr>
          <w:rFonts w:ascii="Arial" w:cs="Arial" w:eastAsia="Arial" w:hAnsi="Arial"/>
          <w:color w:val="1F2937"/>
          <w:sz w:val="20"/>
          <w:szCs w:val="20"/>
        </w:rPr>
        <w:t xml:space="preserve">Conversation flow design for voice, chat, and email</w:t>
      </w:r>
    </w:p>
    <w:p>
      <w:pPr>
        <w:pStyle w:val="ListParagraph"/>
        <w:numPr>
          <w:ilvl w:val="0"/>
          <w:numId w:val="2"/>
        </w:numPr>
        <w:spacing w:after="60" w:line="276"/>
      </w:pPr>
      <w:r>
        <w:rPr>
          <w:rFonts w:ascii="Arial" w:cs="Arial" w:eastAsia="Arial" w:hAnsi="Arial"/>
          <w:color w:val="1F2937"/>
          <w:sz w:val="20"/>
          <w:szCs w:val="20"/>
        </w:rPr>
        <w:t xml:space="preserve">Pre-launch testing protocols: test-call rubrics, error taxonomy</w:t>
      </w:r>
    </w:p>
    <w:p>
      <w:pPr>
        <w:pStyle w:val="ListParagraph"/>
        <w:numPr>
          <w:ilvl w:val="0"/>
          <w:numId w:val="2"/>
        </w:numPr>
        <w:spacing w:after="60" w:line="276"/>
      </w:pPr>
      <w:r>
        <w:rPr>
          <w:rFonts w:ascii="Arial" w:cs="Arial" w:eastAsia="Arial" w:hAnsi="Arial"/>
          <w:color w:val="1F2937"/>
          <w:sz w:val="20"/>
          <w:szCs w:val="20"/>
        </w:rPr>
        <w:t xml:space="preserve">Multilingual: German, English, Dutch</w:t>
      </w:r>
    </w:p>
    <w:p>
      <w:pPr>
        <w:spacing w:after="0" w:before="40"/>
      </w:pPr>
      <w:r>
        <w:t xml:space="preserve"/>
      </w:r>
    </w:p>
    <w:p>
      <w:pPr>
        <w:spacing w:after="0" w:before="80"/>
      </w:pPr>
      <w:r>
        <w:t xml:space="preserve"/>
      </w:r>
    </w:p>
    <w:p>
      <w:pPr>
        <w:pStyle w:val="Heading1"/>
        <w:pBdr>
          <w:bottom w:val="single" w:color="0E8A8A" w:sz="6" w:space="4"/>
        </w:pBdr>
        <w:spacing w:after="120" w:before="280"/>
      </w:pPr>
      <w:r>
        <w:rPr>
          <w:rFonts w:ascii="Arial" w:cs="Arial" w:eastAsia="Arial" w:hAnsi="Arial"/>
          <w:b/>
          <w:bCs/>
          <w:color w:val="0E2A47"/>
          <w:sz w:val="30"/>
          <w:szCs w:val="30"/>
        </w:rPr>
        <w:t xml:space="preserve">8.  Brand Guidelines and Communication Style</w:t>
      </w:r>
    </w:p>
    <w:p>
      <w:pPr>
        <w:spacing w:after="120" w:line="276"/>
        <w:jc w:val="both"/>
      </w:pPr>
      <w:r>
        <w:rPr>
          <w:rFonts w:ascii="Arial" w:cs="Arial" w:eastAsia="Arial" w:hAnsi="Arial"/>
          <w:b w:val="false"/>
          <w:bCs w:val="false"/>
          <w:color w:val="1F2937"/>
          <w:sz w:val="20"/>
          <w:szCs w:val="20"/>
        </w:rPr>
        <w:t xml:space="preserve">This section documents Nexrai's tone and language norms. These standards apply to proposals, case studies, client communications, and AI-generated content we produce on behalf of clients using Nexrai's voice.</w:t>
      </w:r>
    </w:p>
    <w:p>
      <w:pPr>
        <w:pStyle w:val="Heading2"/>
        <w:spacing w:after="80" w:before="200"/>
      </w:pPr>
      <w:r>
        <w:rPr>
          <w:rFonts w:ascii="Arial" w:cs="Arial" w:eastAsia="Arial" w:hAnsi="Arial"/>
          <w:b/>
          <w:bCs/>
          <w:color w:val="0E8A8A"/>
          <w:sz w:val="24"/>
          <w:szCs w:val="24"/>
        </w:rPr>
        <w:t xml:space="preserve">Voice principles</w:t>
      </w:r>
    </w:p>
    <w:p>
      <w:pPr>
        <w:pStyle w:val="ListParagraph"/>
        <w:numPr>
          <w:ilvl w:val="0"/>
          <w:numId w:val="2"/>
        </w:numPr>
        <w:spacing w:after="60" w:line="276"/>
      </w:pPr>
      <w:r>
        <w:rPr>
          <w:rFonts w:ascii="Arial" w:cs="Arial" w:eastAsia="Arial" w:hAnsi="Arial"/>
          <w:color w:val="1F2937"/>
          <w:sz w:val="20"/>
          <w:szCs w:val="20"/>
        </w:rPr>
        <w:t xml:space="preserve">Specific over vague. We cite numbers, timelines, and named technologies. We do not write 'significantly improved performance' — we write '+22% email-attributed revenue in Q1'.</w:t>
      </w:r>
    </w:p>
    <w:p>
      <w:pPr>
        <w:pStyle w:val="ListParagraph"/>
        <w:numPr>
          <w:ilvl w:val="0"/>
          <w:numId w:val="2"/>
        </w:numPr>
        <w:spacing w:after="60" w:line="276"/>
      </w:pPr>
      <w:r>
        <w:rPr>
          <w:rFonts w:ascii="Arial" w:cs="Arial" w:eastAsia="Arial" w:hAnsi="Arial"/>
          <w:color w:val="1F2937"/>
          <w:sz w:val="20"/>
          <w:szCs w:val="20"/>
        </w:rPr>
        <w:t xml:space="preserve">Restrained over hyperbolic. We do not use words like 'revolutionary', 'transformative', 'cutting-edge', or 'game-changing'. These words are a signal that there is nothing specific to say.</w:t>
      </w:r>
    </w:p>
    <w:p>
      <w:pPr>
        <w:pStyle w:val="ListParagraph"/>
        <w:numPr>
          <w:ilvl w:val="0"/>
          <w:numId w:val="2"/>
        </w:numPr>
        <w:spacing w:after="60" w:line="276"/>
      </w:pPr>
      <w:r>
        <w:rPr>
          <w:rFonts w:ascii="Arial" w:cs="Arial" w:eastAsia="Arial" w:hAnsi="Arial"/>
          <w:color w:val="1F2937"/>
          <w:sz w:val="20"/>
          <w:szCs w:val="20"/>
        </w:rPr>
        <w:t xml:space="preserve">Honest about scope. We describe what our systems do and what they do not do. The list of things an agent refuses to do is as important as the list of things it does.</w:t>
      </w:r>
    </w:p>
    <w:p>
      <w:pPr>
        <w:pStyle w:val="ListParagraph"/>
        <w:numPr>
          <w:ilvl w:val="0"/>
          <w:numId w:val="2"/>
        </w:numPr>
        <w:spacing w:after="60" w:line="276"/>
      </w:pPr>
      <w:r>
        <w:rPr>
          <w:rFonts w:ascii="Arial" w:cs="Arial" w:eastAsia="Arial" w:hAnsi="Arial"/>
          <w:color w:val="1F2937"/>
          <w:sz w:val="20"/>
          <w:szCs w:val="20"/>
        </w:rPr>
        <w:t xml:space="preserve">Short sentences in proposals. Target 18-22 words per sentence. Long sentences in B2B proposals are where precision goes to die.</w:t>
      </w:r>
    </w:p>
    <w:p>
      <w:pPr>
        <w:pStyle w:val="ListParagraph"/>
        <w:numPr>
          <w:ilvl w:val="0"/>
          <w:numId w:val="2"/>
        </w:numPr>
        <w:spacing w:after="60" w:line="276"/>
      </w:pPr>
      <w:r>
        <w:rPr>
          <w:rFonts w:ascii="Arial" w:cs="Arial" w:eastAsia="Arial" w:hAnsi="Arial"/>
          <w:color w:val="1F2937"/>
          <w:sz w:val="20"/>
          <w:szCs w:val="20"/>
        </w:rPr>
        <w:t xml:space="preserve">Client-domain language. In proposals, we use the client's terminology, not our own. A mental health client's users are 'patients', not 'callers'. A logistics client's documents are 'declarations', not 'forms'.</w:t>
      </w:r>
    </w:p>
    <w:p>
      <w:pPr>
        <w:pStyle w:val="Heading2"/>
        <w:spacing w:after="80" w:before="200"/>
      </w:pPr>
      <w:r>
        <w:rPr>
          <w:rFonts w:ascii="Arial" w:cs="Arial" w:eastAsia="Arial" w:hAnsi="Arial"/>
          <w:b/>
          <w:bCs/>
          <w:color w:val="0E8A8A"/>
          <w:sz w:val="24"/>
          <w:szCs w:val="24"/>
        </w:rPr>
        <w:t xml:space="preserve">Banned phrases and patterns</w:t>
      </w:r>
    </w:p>
    <w:p>
      <w:pPr>
        <w:pStyle w:val="ListParagraph"/>
        <w:numPr>
          <w:ilvl w:val="0"/>
          <w:numId w:val="2"/>
        </w:numPr>
        <w:spacing w:after="60" w:line="276"/>
      </w:pPr>
      <w:r>
        <w:rPr>
          <w:rFonts w:ascii="Arial" w:cs="Arial" w:eastAsia="Arial" w:hAnsi="Arial"/>
          <w:color w:val="1F2937"/>
          <w:sz w:val="20"/>
          <w:szCs w:val="20"/>
        </w:rPr>
        <w:t xml:space="preserve">'Revolutionary', 'transformative', 'disruptive', 'cutting-edge', 'game-changing', 'next-generation'</w:t>
      </w:r>
    </w:p>
    <w:p>
      <w:pPr>
        <w:pStyle w:val="ListParagraph"/>
        <w:numPr>
          <w:ilvl w:val="0"/>
          <w:numId w:val="2"/>
        </w:numPr>
        <w:spacing w:after="60" w:line="276"/>
      </w:pPr>
      <w:r>
        <w:rPr>
          <w:rFonts w:ascii="Arial" w:cs="Arial" w:eastAsia="Arial" w:hAnsi="Arial"/>
          <w:color w:val="1F2937"/>
          <w:sz w:val="20"/>
          <w:szCs w:val="20"/>
        </w:rPr>
        <w:t xml:space="preserve">'Leverage' as a verb (use 'use')</w:t>
      </w:r>
    </w:p>
    <w:p>
      <w:pPr>
        <w:pStyle w:val="ListParagraph"/>
        <w:numPr>
          <w:ilvl w:val="0"/>
          <w:numId w:val="2"/>
        </w:numPr>
        <w:spacing w:after="60" w:line="276"/>
      </w:pPr>
      <w:r>
        <w:rPr>
          <w:rFonts w:ascii="Arial" w:cs="Arial" w:eastAsia="Arial" w:hAnsi="Arial"/>
          <w:color w:val="1F2937"/>
          <w:sz w:val="20"/>
          <w:szCs w:val="20"/>
        </w:rPr>
        <w:t xml:space="preserve">'Seamless' (say what makes it smooth)</w:t>
      </w:r>
    </w:p>
    <w:p>
      <w:pPr>
        <w:pStyle w:val="ListParagraph"/>
        <w:numPr>
          <w:ilvl w:val="0"/>
          <w:numId w:val="2"/>
        </w:numPr>
        <w:spacing w:after="60" w:line="276"/>
      </w:pPr>
      <w:r>
        <w:rPr>
          <w:rFonts w:ascii="Arial" w:cs="Arial" w:eastAsia="Arial" w:hAnsi="Arial"/>
          <w:color w:val="1F2937"/>
          <w:sz w:val="20"/>
          <w:szCs w:val="20"/>
        </w:rPr>
        <w:t xml:space="preserve">'End-to-end solution' (say what the ends are)</w:t>
      </w:r>
    </w:p>
    <w:p>
      <w:pPr>
        <w:pStyle w:val="ListParagraph"/>
        <w:numPr>
          <w:ilvl w:val="0"/>
          <w:numId w:val="2"/>
        </w:numPr>
        <w:spacing w:after="60" w:line="276"/>
      </w:pPr>
      <w:r>
        <w:rPr>
          <w:rFonts w:ascii="Arial" w:cs="Arial" w:eastAsia="Arial" w:hAnsi="Arial"/>
          <w:color w:val="1F2937"/>
          <w:sz w:val="20"/>
          <w:szCs w:val="20"/>
        </w:rPr>
        <w:t xml:space="preserve">'Our team of experts' without naming the experts</w:t>
      </w:r>
    </w:p>
    <w:p>
      <w:pPr>
        <w:pStyle w:val="ListParagraph"/>
        <w:numPr>
          <w:ilvl w:val="0"/>
          <w:numId w:val="2"/>
        </w:numPr>
        <w:spacing w:after="60" w:line="276"/>
      </w:pPr>
      <w:r>
        <w:rPr>
          <w:rFonts w:ascii="Arial" w:cs="Arial" w:eastAsia="Arial" w:hAnsi="Arial"/>
          <w:color w:val="1F2937"/>
          <w:sz w:val="20"/>
          <w:szCs w:val="20"/>
        </w:rPr>
        <w:t xml:space="preserve">Passive voice in commitments: 'The system will be delivered' → 'We deliver the system'</w:t>
      </w:r>
    </w:p>
    <w:p>
      <w:pPr>
        <w:pStyle w:val="Heading2"/>
        <w:spacing w:after="80" w:before="200"/>
      </w:pPr>
      <w:r>
        <w:rPr>
          <w:rFonts w:ascii="Arial" w:cs="Arial" w:eastAsia="Arial" w:hAnsi="Arial"/>
          <w:b/>
          <w:bCs/>
          <w:color w:val="0E8A8A"/>
          <w:sz w:val="24"/>
          <w:szCs w:val="24"/>
        </w:rPr>
        <w:t xml:space="preserve">Formatting standards</w:t>
      </w:r>
    </w:p>
    <w:p>
      <w:pPr>
        <w:pStyle w:val="ListParagraph"/>
        <w:numPr>
          <w:ilvl w:val="0"/>
          <w:numId w:val="2"/>
        </w:numPr>
        <w:spacing w:after="60" w:line="276"/>
      </w:pPr>
      <w:r>
        <w:rPr>
          <w:rFonts w:ascii="Arial" w:cs="Arial" w:eastAsia="Arial" w:hAnsi="Arial"/>
          <w:color w:val="1F2937"/>
          <w:sz w:val="20"/>
          <w:szCs w:val="20"/>
        </w:rPr>
        <w:t xml:space="preserve">Proposals: 10 sections, 2-4 paragraphs per section, feature tables for scope, timeline tables for phasing.</w:t>
      </w:r>
    </w:p>
    <w:p>
      <w:pPr>
        <w:pStyle w:val="ListParagraph"/>
        <w:numPr>
          <w:ilvl w:val="0"/>
          <w:numId w:val="2"/>
        </w:numPr>
        <w:spacing w:after="60" w:line="276"/>
      </w:pPr>
      <w:r>
        <w:rPr>
          <w:rFonts w:ascii="Arial" w:cs="Arial" w:eastAsia="Arial" w:hAnsi="Arial"/>
          <w:color w:val="1F2937"/>
          <w:sz w:val="20"/>
          <w:szCs w:val="20"/>
        </w:rPr>
        <w:t xml:space="preserve">Case studies: challenge, approach, results (with stats), client quote, lessons learned.</w:t>
      </w:r>
    </w:p>
    <w:p>
      <w:pPr>
        <w:pStyle w:val="ListParagraph"/>
        <w:numPr>
          <w:ilvl w:val="0"/>
          <w:numId w:val="2"/>
        </w:numPr>
        <w:spacing w:after="60" w:line="276"/>
      </w:pPr>
      <w:r>
        <w:rPr>
          <w:rFonts w:ascii="Arial" w:cs="Arial" w:eastAsia="Arial" w:hAnsi="Arial"/>
          <w:color w:val="1F2937"/>
          <w:sz w:val="20"/>
          <w:szCs w:val="20"/>
        </w:rPr>
        <w:t xml:space="preserve">Emails: subject line states the ask. First paragraph is the context. Second is the request or finding. No preamble.</w:t>
      </w:r>
    </w:p>
    <w:p>
      <w:pPr>
        <w:spacing w:after="0" w:before="80"/>
      </w:pPr>
      <w:r>
        <w:t xml:space="preserve"/>
      </w:r>
    </w:p>
    <w:p>
      <w:pPr>
        <w:pStyle w:val="Heading1"/>
        <w:pBdr>
          <w:bottom w:val="single" w:color="0E8A8A" w:sz="6" w:space="4"/>
        </w:pBdr>
        <w:spacing w:after="120" w:before="280"/>
      </w:pPr>
      <w:r>
        <w:rPr>
          <w:rFonts w:ascii="Arial" w:cs="Arial" w:eastAsia="Arial" w:hAnsi="Arial"/>
          <w:b/>
          <w:bCs/>
          <w:color w:val="0E2A47"/>
          <w:sz w:val="30"/>
          <w:szCs w:val="30"/>
        </w:rPr>
        <w:t xml:space="preserve">9.  Commercial Terms</w:t>
      </w:r>
    </w:p>
    <w:p>
      <w:pPr>
        <w:spacing w:after="120" w:line="276"/>
        <w:jc w:val="both"/>
      </w:pPr>
      <w:r>
        <w:rPr>
          <w:rFonts w:ascii="Arial" w:cs="Arial" w:eastAsia="Arial" w:hAnsi="Arial"/>
          <w:b w:val="false"/>
          <w:bCs w:val="false"/>
          <w:color w:val="1F2937"/>
          <w:sz w:val="20"/>
          <w:szCs w:val="20"/>
        </w:rPr>
        <w:t xml:space="preserve">Standard terms for reference. All engagements are individually scoped and contracted.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000"/>
            <w:tcBorders>
              <w:top w:val="single" w:color="D6DEE8" w:sz="1"/>
              <w:left w:val="single" w:color="D6DEE8" w:sz="1"/>
              <w:bottom w:val="single" w:color="D6DEE8" w:sz="1"/>
              <w:right w:val="single" w:color="D6DEE8" w:sz="1"/>
            </w:tcBorders>
            <w:shd w:fill="F4F7FB" w:val="clear"/>
            <w:tcMar>
              <w:top w:type="dxa" w:w="80"/>
              <w:left w:type="dxa" w:w="120"/>
              <w:bottom w:type="dxa" w:w="80"/>
              <w:right w:type="dxa" w:w="80"/>
            </w:tcMar>
          </w:tcPr>
          <w:p>
            <w:r>
              <w:rPr>
                <w:rFonts w:ascii="Arial" w:cs="Arial" w:eastAsia="Arial" w:hAnsi="Arial"/>
                <w:b/>
                <w:bCs/>
                <w:color w:val="0E2A47"/>
                <w:sz w:val="18"/>
                <w:szCs w:val="18"/>
              </w:rPr>
              <w:t xml:space="preserve">Payment schedule</w:t>
            </w:r>
          </w:p>
        </w:tc>
        <w:tc>
          <w:tcPr>
            <w:tcW w:type="dxa" w:w="7360"/>
            <w:tcBorders>
              <w:top w:val="single" w:color="D6DEE8" w:sz="1"/>
              <w:left w:val="single" w:color="D6DEE8" w:sz="1"/>
              <w:bottom w:val="single" w:color="D6DEE8" w:sz="1"/>
              <w:right w:val="single" w:color="D6DEE8" w:sz="1"/>
            </w:tcBorders>
            <w:tcMar>
              <w:top w:type="dxa" w:w="80"/>
              <w:left w:type="dxa" w:w="120"/>
              <w:bottom w:type="dxa" w:w="80"/>
              <w:right w:type="dxa" w:w="120"/>
            </w:tcMar>
          </w:tcPr>
          <w:p>
            <w:r>
              <w:rPr>
                <w:rFonts w:ascii="Arial" w:cs="Arial" w:eastAsia="Arial" w:hAnsi="Arial"/>
                <w:color w:val="1F2937"/>
                <w:sz w:val="18"/>
                <w:szCs w:val="18"/>
              </w:rPr>
              <w:t xml:space="preserve">30% on contract signature; 40% on staging delivery; 30% on go-live</w:t>
            </w:r>
          </w:p>
        </w:tc>
      </w:tr>
      <w:tr>
        <w:tc>
          <w:tcPr>
            <w:tcW w:type="dxa" w:w="2000"/>
            <w:tcBorders>
              <w:top w:val="single" w:color="D6DEE8" w:sz="1"/>
              <w:left w:val="single" w:color="D6DEE8" w:sz="1"/>
              <w:bottom w:val="single" w:color="D6DEE8" w:sz="1"/>
              <w:right w:val="single" w:color="D6DEE8" w:sz="1"/>
            </w:tcBorders>
            <w:shd w:fill="F4F7FB" w:val="clear"/>
            <w:tcMar>
              <w:top w:type="dxa" w:w="80"/>
              <w:left w:type="dxa" w:w="120"/>
              <w:bottom w:type="dxa" w:w="80"/>
              <w:right w:type="dxa" w:w="80"/>
            </w:tcMar>
          </w:tcPr>
          <w:p>
            <w:r>
              <w:rPr>
                <w:rFonts w:ascii="Arial" w:cs="Arial" w:eastAsia="Arial" w:hAnsi="Arial"/>
                <w:b/>
                <w:bCs/>
                <w:color w:val="0E2A47"/>
                <w:sz w:val="18"/>
                <w:szCs w:val="18"/>
              </w:rPr>
              <w:t xml:space="preserve">Managed retainer billing</w:t>
            </w:r>
          </w:p>
        </w:tc>
        <w:tc>
          <w:tcPr>
            <w:tcW w:type="dxa" w:w="7360"/>
            <w:tcBorders>
              <w:top w:val="single" w:color="D6DEE8" w:sz="1"/>
              <w:left w:val="single" w:color="D6DEE8" w:sz="1"/>
              <w:bottom w:val="single" w:color="D6DEE8" w:sz="1"/>
              <w:right w:val="single" w:color="D6DEE8" w:sz="1"/>
            </w:tcBorders>
            <w:tcMar>
              <w:top w:type="dxa" w:w="80"/>
              <w:left w:type="dxa" w:w="120"/>
              <w:bottom w:type="dxa" w:w="80"/>
              <w:right w:type="dxa" w:w="120"/>
            </w:tcMar>
          </w:tcPr>
          <w:p>
            <w:r>
              <w:rPr>
                <w:rFonts w:ascii="Arial" w:cs="Arial" w:eastAsia="Arial" w:hAnsi="Arial"/>
                <w:color w:val="1F2937"/>
                <w:sz w:val="18"/>
                <w:szCs w:val="18"/>
              </w:rPr>
              <w:t xml:space="preserve">Monthly in advance; minimum term stated per engagement (typically 6 or 12 months)</w:t>
            </w:r>
          </w:p>
        </w:tc>
      </w:tr>
      <w:tr>
        <w:tc>
          <w:tcPr>
            <w:tcW w:type="dxa" w:w="2000"/>
            <w:tcBorders>
              <w:top w:val="single" w:color="D6DEE8" w:sz="1"/>
              <w:left w:val="single" w:color="D6DEE8" w:sz="1"/>
              <w:bottom w:val="single" w:color="D6DEE8" w:sz="1"/>
              <w:right w:val="single" w:color="D6DEE8" w:sz="1"/>
            </w:tcBorders>
            <w:shd w:fill="F4F7FB" w:val="clear"/>
            <w:tcMar>
              <w:top w:type="dxa" w:w="80"/>
              <w:left w:type="dxa" w:w="120"/>
              <w:bottom w:type="dxa" w:w="80"/>
              <w:right w:type="dxa" w:w="80"/>
            </w:tcMar>
          </w:tcPr>
          <w:p>
            <w:r>
              <w:rPr>
                <w:rFonts w:ascii="Arial" w:cs="Arial" w:eastAsia="Arial" w:hAnsi="Arial"/>
                <w:b/>
                <w:bCs/>
                <w:color w:val="0E2A47"/>
                <w:sz w:val="18"/>
                <w:szCs w:val="18"/>
              </w:rPr>
              <w:t xml:space="preserve">Intellectual property</w:t>
            </w:r>
          </w:p>
        </w:tc>
        <w:tc>
          <w:tcPr>
            <w:tcW w:type="dxa" w:w="7360"/>
            <w:tcBorders>
              <w:top w:val="single" w:color="D6DEE8" w:sz="1"/>
              <w:left w:val="single" w:color="D6DEE8" w:sz="1"/>
              <w:bottom w:val="single" w:color="D6DEE8" w:sz="1"/>
              <w:right w:val="single" w:color="D6DEE8" w:sz="1"/>
            </w:tcBorders>
            <w:tcMar>
              <w:top w:type="dxa" w:w="80"/>
              <w:left w:type="dxa" w:w="120"/>
              <w:bottom w:type="dxa" w:w="80"/>
              <w:right w:type="dxa" w:w="120"/>
            </w:tcMar>
          </w:tcPr>
          <w:p>
            <w:r>
              <w:rPr>
                <w:rFonts w:ascii="Arial" w:cs="Arial" w:eastAsia="Arial" w:hAnsi="Arial"/>
                <w:color w:val="1F2937"/>
                <w:sz w:val="18"/>
                <w:szCs w:val="18"/>
              </w:rPr>
              <w:t xml:space="preserve">Client owns all custom code and trained models. Nexrai retains rights to the underlying framework and shared tooling.</w:t>
            </w:r>
          </w:p>
        </w:tc>
      </w:tr>
      <w:tr>
        <w:tc>
          <w:tcPr>
            <w:tcW w:type="dxa" w:w="2000"/>
            <w:tcBorders>
              <w:top w:val="single" w:color="D6DEE8" w:sz="1"/>
              <w:left w:val="single" w:color="D6DEE8" w:sz="1"/>
              <w:bottom w:val="single" w:color="D6DEE8" w:sz="1"/>
              <w:right w:val="single" w:color="D6DEE8" w:sz="1"/>
            </w:tcBorders>
            <w:shd w:fill="F4F7FB" w:val="clear"/>
            <w:tcMar>
              <w:top w:type="dxa" w:w="80"/>
              <w:left w:type="dxa" w:w="120"/>
              <w:bottom w:type="dxa" w:w="80"/>
              <w:right w:type="dxa" w:w="80"/>
            </w:tcMar>
          </w:tcPr>
          <w:p>
            <w:r>
              <w:rPr>
                <w:rFonts w:ascii="Arial" w:cs="Arial" w:eastAsia="Arial" w:hAnsi="Arial"/>
                <w:b/>
                <w:bCs/>
                <w:color w:val="0E2A47"/>
                <w:sz w:val="18"/>
                <w:szCs w:val="18"/>
              </w:rPr>
              <w:t xml:space="preserve">Infrastructure costs</w:t>
            </w:r>
          </w:p>
        </w:tc>
        <w:tc>
          <w:tcPr>
            <w:tcW w:type="dxa" w:w="7360"/>
            <w:tcBorders>
              <w:top w:val="single" w:color="D6DEE8" w:sz="1"/>
              <w:left w:val="single" w:color="D6DEE8" w:sz="1"/>
              <w:bottom w:val="single" w:color="D6DEE8" w:sz="1"/>
              <w:right w:val="single" w:color="D6DEE8" w:sz="1"/>
            </w:tcBorders>
            <w:tcMar>
              <w:top w:type="dxa" w:w="80"/>
              <w:left w:type="dxa" w:w="120"/>
              <w:bottom w:type="dxa" w:w="80"/>
              <w:right w:type="dxa" w:w="120"/>
            </w:tcMar>
          </w:tcPr>
          <w:p>
            <w:r>
              <w:rPr>
                <w:rFonts w:ascii="Arial" w:cs="Arial" w:eastAsia="Arial" w:hAnsi="Arial"/>
                <w:color w:val="1F2937"/>
                <w:sz w:val="18"/>
                <w:szCs w:val="18"/>
              </w:rPr>
              <w:t xml:space="preserve">Client billed directly for third-party API usage (Claude, Deepgram, ElevenLabs, Twilio). We do not mark up infrastructure.</w:t>
            </w:r>
          </w:p>
        </w:tc>
      </w:tr>
      <w:tr>
        <w:tc>
          <w:tcPr>
            <w:tcW w:type="dxa" w:w="2000"/>
            <w:tcBorders>
              <w:top w:val="single" w:color="D6DEE8" w:sz="1"/>
              <w:left w:val="single" w:color="D6DEE8" w:sz="1"/>
              <w:bottom w:val="single" w:color="D6DEE8" w:sz="1"/>
              <w:right w:val="single" w:color="D6DEE8" w:sz="1"/>
            </w:tcBorders>
            <w:shd w:fill="F4F7FB" w:val="clear"/>
            <w:tcMar>
              <w:top w:type="dxa" w:w="80"/>
              <w:left w:type="dxa" w:w="120"/>
              <w:bottom w:type="dxa" w:w="80"/>
              <w:right w:type="dxa" w:w="80"/>
            </w:tcMar>
          </w:tcPr>
          <w:p>
            <w:r>
              <w:rPr>
                <w:rFonts w:ascii="Arial" w:cs="Arial" w:eastAsia="Arial" w:hAnsi="Arial"/>
                <w:b/>
                <w:bCs/>
                <w:color w:val="0E2A47"/>
                <w:sz w:val="18"/>
                <w:szCs w:val="18"/>
              </w:rPr>
              <w:t xml:space="preserve">Warranty</w:t>
            </w:r>
          </w:p>
        </w:tc>
        <w:tc>
          <w:tcPr>
            <w:tcW w:type="dxa" w:w="7360"/>
            <w:tcBorders>
              <w:top w:val="single" w:color="D6DEE8" w:sz="1"/>
              <w:left w:val="single" w:color="D6DEE8" w:sz="1"/>
              <w:bottom w:val="single" w:color="D6DEE8" w:sz="1"/>
              <w:right w:val="single" w:color="D6DEE8" w:sz="1"/>
            </w:tcBorders>
            <w:tcMar>
              <w:top w:type="dxa" w:w="80"/>
              <w:left w:type="dxa" w:w="120"/>
              <w:bottom w:type="dxa" w:w="80"/>
              <w:right w:type="dxa" w:w="120"/>
            </w:tcMar>
          </w:tcPr>
          <w:p>
            <w:r>
              <w:rPr>
                <w:rFonts w:ascii="Arial" w:cs="Arial" w:eastAsia="Arial" w:hAnsi="Arial"/>
                <w:color w:val="1F2937"/>
                <w:sz w:val="18"/>
                <w:szCs w:val="18"/>
              </w:rPr>
              <w:t xml:space="preserve">Two weeks of post-launch bug fixes included in every build. Defects in delivered scope fixed at no charge.</w:t>
            </w:r>
          </w:p>
        </w:tc>
      </w:tr>
      <w:tr>
        <w:tc>
          <w:tcPr>
            <w:tcW w:type="dxa" w:w="2000"/>
            <w:tcBorders>
              <w:top w:val="single" w:color="D6DEE8" w:sz="1"/>
              <w:left w:val="single" w:color="D6DEE8" w:sz="1"/>
              <w:bottom w:val="single" w:color="D6DEE8" w:sz="1"/>
              <w:right w:val="single" w:color="D6DEE8" w:sz="1"/>
            </w:tcBorders>
            <w:shd w:fill="F4F7FB" w:val="clear"/>
            <w:tcMar>
              <w:top w:type="dxa" w:w="80"/>
              <w:left w:type="dxa" w:w="120"/>
              <w:bottom w:type="dxa" w:w="80"/>
              <w:right w:type="dxa" w:w="80"/>
            </w:tcMar>
          </w:tcPr>
          <w:p>
            <w:r>
              <w:rPr>
                <w:rFonts w:ascii="Arial" w:cs="Arial" w:eastAsia="Arial" w:hAnsi="Arial"/>
                <w:b/>
                <w:bCs/>
                <w:color w:val="0E2A47"/>
                <w:sz w:val="18"/>
                <w:szCs w:val="18"/>
              </w:rPr>
              <w:t xml:space="preserve">Confidentiality</w:t>
            </w:r>
          </w:p>
        </w:tc>
        <w:tc>
          <w:tcPr>
            <w:tcW w:type="dxa" w:w="7360"/>
            <w:tcBorders>
              <w:top w:val="single" w:color="D6DEE8" w:sz="1"/>
              <w:left w:val="single" w:color="D6DEE8" w:sz="1"/>
              <w:bottom w:val="single" w:color="D6DEE8" w:sz="1"/>
              <w:right w:val="single" w:color="D6DEE8" w:sz="1"/>
            </w:tcBorders>
            <w:tcMar>
              <w:top w:type="dxa" w:w="80"/>
              <w:left w:type="dxa" w:w="120"/>
              <w:bottom w:type="dxa" w:w="80"/>
              <w:right w:type="dxa" w:w="120"/>
            </w:tcMar>
          </w:tcPr>
          <w:p>
            <w:r>
              <w:rPr>
                <w:rFonts w:ascii="Arial" w:cs="Arial" w:eastAsia="Arial" w:hAnsi="Arial"/>
                <w:color w:val="1F2937"/>
                <w:sz w:val="18"/>
                <w:szCs w:val="18"/>
              </w:rPr>
              <w:t xml:space="preserve">NDA executed before discovery. Client data never used for Nexrai training datasets.</w:t>
            </w:r>
          </w:p>
        </w:tc>
      </w:tr>
      <w:tr>
        <w:tc>
          <w:tcPr>
            <w:tcW w:type="dxa" w:w="2000"/>
            <w:tcBorders>
              <w:top w:val="single" w:color="D6DEE8" w:sz="1"/>
              <w:left w:val="single" w:color="D6DEE8" w:sz="1"/>
              <w:bottom w:val="single" w:color="D6DEE8" w:sz="1"/>
              <w:right w:val="single" w:color="D6DEE8" w:sz="1"/>
            </w:tcBorders>
            <w:shd w:fill="F4F7FB" w:val="clear"/>
            <w:tcMar>
              <w:top w:type="dxa" w:w="80"/>
              <w:left w:type="dxa" w:w="120"/>
              <w:bottom w:type="dxa" w:w="80"/>
              <w:right w:type="dxa" w:w="80"/>
            </w:tcMar>
          </w:tcPr>
          <w:p>
            <w:r>
              <w:rPr>
                <w:rFonts w:ascii="Arial" w:cs="Arial" w:eastAsia="Arial" w:hAnsi="Arial"/>
                <w:b/>
                <w:bCs/>
                <w:color w:val="0E2A47"/>
                <w:sz w:val="18"/>
                <w:szCs w:val="18"/>
              </w:rPr>
              <w:t xml:space="preserve">Governing law</w:t>
            </w:r>
          </w:p>
        </w:tc>
        <w:tc>
          <w:tcPr>
            <w:tcW w:type="dxa" w:w="7360"/>
            <w:tcBorders>
              <w:top w:val="single" w:color="D6DEE8" w:sz="1"/>
              <w:left w:val="single" w:color="D6DEE8" w:sz="1"/>
              <w:bottom w:val="single" w:color="D6DEE8" w:sz="1"/>
              <w:right w:val="single" w:color="D6DEE8" w:sz="1"/>
            </w:tcBorders>
            <w:tcMar>
              <w:top w:type="dxa" w:w="80"/>
              <w:left w:type="dxa" w:w="120"/>
              <w:bottom w:type="dxa" w:w="80"/>
              <w:right w:type="dxa" w:w="120"/>
            </w:tcMar>
          </w:tcPr>
          <w:p>
            <w:r>
              <w:rPr>
                <w:rFonts w:ascii="Arial" w:cs="Arial" w:eastAsia="Arial" w:hAnsi="Arial"/>
                <w:color w:val="1F2937"/>
                <w:sz w:val="18"/>
                <w:szCs w:val="18"/>
              </w:rPr>
              <w:t xml:space="preserve">German law (BGB); jurisdiction Frankfurt am Main.</w:t>
            </w:r>
          </w:p>
        </w:tc>
      </w:tr>
    </w:tbl>
    <w:p>
      <w:pPr>
        <w:spacing w:after="0" w:before="80"/>
      </w:pPr>
      <w:r>
        <w:t xml:space="preserve"/>
      </w:r>
    </w:p>
    <w:p>
      <w:pPr>
        <w:pStyle w:val="Heading1"/>
        <w:pBdr>
          <w:bottom w:val="single" w:color="0E8A8A" w:sz="6" w:space="4"/>
        </w:pBdr>
        <w:spacing w:after="120" w:before="280"/>
      </w:pPr>
      <w:r>
        <w:rPr>
          <w:rFonts w:ascii="Arial" w:cs="Arial" w:eastAsia="Arial" w:hAnsi="Arial"/>
          <w:b/>
          <w:bCs/>
          <w:color w:val="0E2A47"/>
          <w:sz w:val="30"/>
          <w:szCs w:val="30"/>
        </w:rPr>
        <w:t xml:space="preserve">10.  Contact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F4F7FB" w:val="clear"/>
            <w:tcMar>
              <w:top w:type="dxa" w:w="200"/>
              <w:left w:type="dxa" w:w="200"/>
              <w:bottom w:type="dxa" w:w="200"/>
              <w:right w:type="dxa" w:w="200"/>
            </w:tcMar>
          </w:tcPr>
          <w:p>
            <w:r>
              <w:rPr>
                <w:rFonts w:ascii="Arial" w:cs="Arial" w:eastAsia="Arial" w:hAnsi="Arial"/>
                <w:b/>
                <w:bCs/>
                <w:color w:val="0E2A47"/>
                <w:sz w:val="22"/>
                <w:szCs w:val="22"/>
              </w:rPr>
              <w:t xml:space="preserve">Nexrai Labs GmbH</w:t>
            </w:r>
          </w:p>
          <w:p>
            <w:pPr>
              <w:spacing w:after="60"/>
            </w:pPr>
            <w:r>
              <w:rPr>
                <w:rFonts w:ascii="Arial" w:cs="Arial" w:eastAsia="Arial" w:hAnsi="Arial"/>
                <w:color w:val="1F2937"/>
                <w:sz w:val="18"/>
                <w:szCs w:val="18"/>
              </w:rPr>
              <w:t xml:space="preserve">Taunusanlage 8, 60329 Frankfurt am Main</w:t>
            </w:r>
          </w:p>
          <w:p>
            <w:pPr>
              <w:spacing w:after="60"/>
            </w:pPr>
            <w:r>
              <w:rPr>
                <w:rFonts w:ascii="Arial" w:cs="Arial" w:eastAsia="Arial" w:hAnsi="Arial"/>
                <w:color w:val="0E8A8A"/>
                <w:sz w:val="18"/>
                <w:szCs w:val="18"/>
              </w:rPr>
              <w:t xml:space="preserve">hello@nexrai.io</w:t>
            </w:r>
          </w:p>
          <w:p>
            <w:pPr>
              <w:spacing w:after="60"/>
            </w:pPr>
            <w:r>
              <w:rPr>
                <w:rFonts w:ascii="Arial" w:cs="Arial" w:eastAsia="Arial" w:hAnsi="Arial"/>
                <w:color w:val="1F2937"/>
                <w:sz w:val="18"/>
                <w:szCs w:val="18"/>
              </w:rPr>
              <w:t xml:space="preserve">+49 69 4000 9900</w:t>
            </w:r>
          </w:p>
          <w:p>
            <w:r>
              <w:rPr>
                <w:rFonts w:ascii="Arial" w:cs="Arial" w:eastAsia="Arial" w:hAnsi="Arial"/>
                <w:color w:val="0E8A8A"/>
                <w:sz w:val="18"/>
                <w:szCs w:val="18"/>
              </w:rPr>
              <w:t xml:space="preserve">nexrai.io</w:t>
            </w:r>
          </w:p>
        </w:tc>
        <w:tc>
          <w:tcPr>
            <w:tcBorders>
              <w:top w:val="none" w:color="FFFFFF" w:sz="0"/>
              <w:left w:val="none" w:color="FFFFFF" w:sz="0"/>
              <w:bottom w:val="none" w:color="FFFFFF" w:sz="0"/>
              <w:right w:val="none" w:color="FFFFFF" w:sz="0"/>
            </w:tcBorders>
            <w:shd w:fill="0E2A47" w:val="clear"/>
            <w:tcMar>
              <w:top w:type="dxa" w:w="200"/>
              <w:left w:type="dxa" w:w="200"/>
              <w:bottom w:type="dxa" w:w="200"/>
              <w:right w:type="dxa" w:w="200"/>
            </w:tcMar>
            <w:vAlign w:val="center"/>
          </w:tcPr>
          <w:p>
            <w:pPr>
              <w:spacing w:after="80"/>
              <w:jc w:val="center"/>
            </w:pPr>
            <w:r>
              <w:rPr>
                <w:rFonts w:ascii="Arial" w:cs="Arial" w:eastAsia="Arial" w:hAnsi="Arial"/>
                <w:b/>
                <w:bCs/>
                <w:color w:val="FFFFFF"/>
                <w:sz w:val="22"/>
                <w:szCs w:val="22"/>
              </w:rPr>
              <w:t xml:space="preserve">Schedule a call</w:t>
            </w:r>
          </w:p>
          <w:p>
            <w:pPr>
              <w:spacing w:after="80"/>
              <w:jc w:val="center"/>
            </w:pPr>
            <w:r>
              <w:rPr>
                <w:rFonts w:ascii="Arial" w:cs="Arial" w:eastAsia="Arial" w:hAnsi="Arial"/>
                <w:color w:val="0E8A8A"/>
                <w:sz w:val="19"/>
                <w:szCs w:val="19"/>
              </w:rPr>
              <w:t xml:space="preserve">cal.nexrai.io/intro</w:t>
            </w:r>
          </w:p>
          <w:p>
            <w:pPr>
              <w:jc w:val="center"/>
            </w:pPr>
            <w:r>
              <w:rPr>
                <w:rFonts w:ascii="Arial" w:cs="Arial" w:eastAsia="Arial" w:hAnsi="Arial"/>
                <w:i/>
                <w:iCs/>
                <w:color w:val="FFFFFF"/>
                <w:sz w:val="17"/>
                <w:szCs w:val="17"/>
              </w:rPr>
              <w:t xml:space="preserve">30-minute no-obligation discovery call.</w:t>
            </w:r>
          </w:p>
        </w:tc>
      </w:tr>
    </w:tbl>
    <w:p>
      <w:pPr>
        <w:spacing w:after="0" w:before="120"/>
      </w:pPr>
      <w:r>
        <w:t xml:space="preserve"/>
      </w:r>
    </w:p>
    <w:p>
      <w:pPr>
        <w:jc w:val="center"/>
      </w:pPr>
      <w:r>
        <w:rPr>
          <w:rFonts w:ascii="Arial" w:cs="Arial" w:eastAsia="Arial" w:hAnsi="Arial"/>
          <w:i/>
          <w:iCs/>
          <w:color w:val="6B7280"/>
          <w:sz w:val="16"/>
          <w:szCs w:val="16"/>
        </w:rPr>
        <w:t xml:space="preserve">Confidential — prepared for recipient only  ·  Nexrai Labs GmbH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8" w:sz="4" w:space="4"/>
      </w:pBdr>
      <w:spacing w:before="80"/>
    </w:pPr>
    <w:r>
      <w:rPr>
        <w:rFonts w:ascii="Arial" w:cs="Arial" w:eastAsia="Arial" w:hAnsi="Arial"/>
        <w:color w:val="6B7280"/>
        <w:sz w:val="16"/>
        <w:szCs w:val="16"/>
      </w:rPr>
      <w:t xml:space="preserve">hello@nexrai.io  ·  nexrai.io  ·  +49 69 4000 9900</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Pr>
        <w:p>
          <w:r>
            <w:rPr>
              <w:rFonts w:ascii="Arial" w:cs="Arial" w:eastAsia="Arial" w:hAnsi="Arial"/>
              <w:b/>
              <w:bCs/>
              <w:color w:val="0E8A8A"/>
              <w:sz w:val="20"/>
              <w:szCs w:val="20"/>
            </w:rPr>
            <w:t xml:space="preserve">NEXRAI LABS</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18"/>
              <w:szCs w:val="18"/>
            </w:rPr>
            <w:t xml:space="preserve">Company Profile  ·  2026</w:t>
          </w:r>
        </w:p>
      </w:tc>
    </w:tr>
  </w:tbl>
  <w:p>
    <w:pPr>
      <w:pBdr>
        <w:bottom w:val="single" w:color="0E8A8A" w:sz="6" w:space="2"/>
      </w:pBdr>
      <w:spacing w:after="0" w:before="4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E2A47"/>
      <w:sz w:val="30"/>
      <w:szCs w:val="30"/>
    </w:rPr>
  </w:style>
  <w:style w:type="paragraph" w:styleId="Heading2">
    <w:name w:val="Heading 2"/>
    <w:basedOn w:val="Normal"/>
    <w:next w:val="Normal"/>
    <w:qFormat/>
    <w:pPr>
      <w:spacing w:after="80" w:before="200"/>
      <w:outlineLvl w:val="1"/>
    </w:pPr>
    <w:rPr>
      <w:rFonts w:ascii="Arial" w:cs="Arial" w:eastAsia="Arial" w:hAnsi="Arial"/>
      <w:b/>
      <w:bCs/>
      <w:color w:val="0E8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2026-04-30T16:40:51.711Z</dcterms:created>
  <dcterms:modified xsi:type="dcterms:W3CDTF">2026-04-30T16:40:51.712Z</dcterms:modified>
</cp:coreProperties>
</file>

<file path=docProps/custom.xml><?xml version="1.0" encoding="utf-8"?>
<Properties xmlns="http://schemas.openxmlformats.org/officeDocument/2006/custom-properties" xmlns:vt="http://schemas.openxmlformats.org/officeDocument/2006/docPropsVTypes"/>
</file>