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Résumé du Marché - Achat de fournitures de bureau et papèterie pour le Secrétariat Général de la Préfecture de Meknès</w:t>
      </w:r>
    </w:p>
    <w:p>
      <w:pPr>
        <w:pStyle w:val="Heading1"/>
      </w:pPr>
      <w:r>
        <w:t>Objet du marché</w:t>
      </w:r>
    </w:p>
    <w:p>
      <w:r>
        <w:t>Le marché porte sur l'achat de fournitures de bureau et de papèterie destinées au Secrétariat Général de la Préfecture de Meknès.</w:t>
      </w:r>
    </w:p>
    <w:p>
      <w:pPr>
        <w:pStyle w:val="Heading1"/>
      </w:pPr>
      <w:r>
        <w:t>Type de procédure</w:t>
      </w:r>
    </w:p>
    <w:p>
      <w:r>
        <w:t>Il s'agit d'un appel d'offres ouvert simplifié sur offres de prix, soumis aux dispositions des articles 19 et 20 du décret n° 2-22-431 du 15 Chaabane 1444 (8 Mars 2023) relatif aux marchés publics.</w:t>
      </w:r>
    </w:p>
    <w:p>
      <w:pPr>
        <w:pStyle w:val="Heading1"/>
      </w:pPr>
      <w:r>
        <w:t>Documents constitutifs du marché</w:t>
      </w:r>
    </w:p>
    <w:p>
      <w:r>
        <w:t>Conformément à l'article 5 du C.C.A.G.T., les documents constitutifs du marché sont : l'acte d'engagement ; le Cahier des Prescriptions Spéciales (CPS) ; le bordereau des prix détail estimatif ; le cahier des clauses administratives générales applicable aux marchés des travaux. En cas de discordance ou de contradictions entre ces documents, ils prévalent dans l'ordre où ils sont énumérés.</w:t>
      </w:r>
    </w:p>
    <w:p>
      <w:pPr>
        <w:pStyle w:val="Heading1"/>
      </w:pPr>
      <w:r>
        <w:t>Pièces contractuelles postérieures à la conclusion du marché</w:t>
      </w:r>
    </w:p>
    <w:p>
      <w:r>
        <w:t>Les pièces contractuelles postérieures à la conclusion du marché comprennent : les ordres de service ; les avenants éventuels ; la décision prévue au paragraphe 3 de l'article 57 du CCAG-T du 13 mai 2016, le cas échéant.</w:t>
      </w:r>
    </w:p>
    <w:p>
      <w:pPr>
        <w:pStyle w:val="Heading1"/>
      </w:pPr>
      <w:r>
        <w:t>Conditions requises des concurrents</w:t>
      </w:r>
    </w:p>
    <w:p>
      <w:r>
        <w:t>Conformément à l'article 27 du décret, peuvent participer les personnes physiques ou morales justifiant de capacités juridiques, techniques et financières requises, étant en situation fiscale régulière, affiliées à un régime de prévoyance sociale et exerçant une activité en rapport avec l'objet du marché. Ne sont pas admis à participer : les personnes en liquidation judiciaire ; les personnes en redressement judiciaire (sauf autorisation spéciale de l'autorité judiciaire compétente).</w:t>
      </w:r>
    </w:p>
    <w:p>
      <w:pPr>
        <w:pStyle w:val="Heading1"/>
      </w:pPr>
      <w:r>
        <w:t>Critères d'attribution</w:t>
      </w:r>
    </w:p>
    <w:p>
      <w:r>
        <w:t>Le marché sera attribué au concurrent dont l'offre économiquement est la plus avantageuse, après examen de ses dossiers administratifs, techniques, complémentaires et des catalogues.</w:t>
      </w:r>
    </w:p>
    <w:p>
      <w:pPr>
        <w:pStyle w:val="Heading1"/>
      </w:pPr>
      <w:r>
        <w:t>Délai de validité des offres</w:t>
      </w:r>
    </w:p>
    <w:p>
      <w:r>
        <w:t>Les soumissionnaires restent engagés par leurs offres pendant un délai de soixante jours (60 jours), à compter de la date d'ouverture des plis. Ce délai peut être prolongé sur demande du maître d'ouvrage, avec l'accord des soumissionnaires concernés.</w:t>
      </w:r>
    </w:p>
    <w:p>
      <w:pPr>
        <w:pStyle w:val="Heading1"/>
      </w:pPr>
      <w:r>
        <w:t>Modalités de dépôt des offres</w:t>
      </w:r>
    </w:p>
    <w:p>
      <w:r>
        <w:t>Conformément aux dispositions de l'article 12 de l'arrêté du ministre délégué chargé du budget n° 1692-23 du 23/06/2023 relatif à la dématérialisation des procédures, chaque document déposé par le concurrent doit être signé électroniquement séparément et individuellement (signature numérique horodatée apposée), à l'exception des pièces d'ordre administratif et technique dématérialisées. Les éléments de réponse du concurrent auquel il est envisagé d'attribuer le marché doivent être produits dans un pli fermé accompagné des échantillons exigés, avec un état cacheté et signé spécifiant la marque et les caractéristiques de chaque échantillon.</w:t>
      </w:r>
    </w:p>
    <w:p>
      <w:pPr>
        <w:pStyle w:val="Heading1"/>
      </w:pPr>
      <w:r>
        <w:t>Accès au dossier d'appel d'offres</w:t>
      </w:r>
    </w:p>
    <w:p>
      <w:r>
        <w:t>Le dossier d'appel d'offres est gratuitement mis à la disposition des concurrents sur le portail des marchés publics (www.marchespublics.gov.ma), dès la première parution de l'avis d'appel d'offres dans l'un des supports de publication prévus à l'article 23 du décret, et jusqu'à la date limite de remise des offres.</w:t>
      </w:r>
    </w:p>
    <w:p>
      <w:pPr>
        <w:pStyle w:val="Heading1"/>
      </w:pPr>
      <w:r>
        <w:t>Informations non disponibles dans les documents fournis</w:t>
      </w:r>
    </w:p>
    <w:p>
      <w:r>
        <w:t>Les informations suivantes ne sont pas mentionnées dans les documents fournis : le montant estimatif du marché, la date limite de remise des offres, la date d'ouverture des plis, le numéro de l'avis d'appel d'offres, le budget alloué, ainsi que les quantités détaillées des fournitures et papeterie requises.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