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pBdr>
          <w:bottom w:val="single" w:color="1A5276" w:sz="12" w:space="4"/>
        </w:pBdr>
        <w:spacing w:before="0" w:after="0"/>
        <w:jc w:val="center"/>
      </w:pPr>
      <w:r>
        <w:rPr>
          <w:rFonts w:ascii="Arial" w:cs="Arial" w:eastAsia="Arial" w:hAnsi="Arial"/>
          <w:b/>
          <w:bCs/>
          <w:color w:val="1A5276"/>
          <w:sz w:val="44"/>
          <w:szCs w:val="44"/>
        </w:rPr>
        <w:t xml:space="preserve">COMPTE RENDU DE PROJET</w:t>
      </w:r>
    </w:p>
    <w:p>
      <w:pPr>
        <w:spacing w:before="240" w:after="0"/>
      </w:pPr>
      <w:r>
        <w:t xml:space="preserve"/>
      </w:r>
    </w:p>
    <w:p>
      <w:pPr>
        <w:spacing w:before="0" w:after="0"/>
        <w:jc w:val="center"/>
      </w:pPr>
      <w:r>
        <w:rPr>
          <w:rFonts w:ascii="Arial" w:cs="Arial" w:eastAsia="Arial" w:hAnsi="Arial"/>
          <w:b/>
          <w:bCs/>
          <w:color w:val="2471A3"/>
          <w:sz w:val="36"/>
          <w:szCs w:val="36"/>
        </w:rPr>
        <w:t xml:space="preserve">Crédit Bancaire &amp; Scoring</w:t>
      </w:r>
    </w:p>
    <w:p>
      <w:pPr>
        <w:spacing w:before="80" w:after="0"/>
        <w:jc w:val="center"/>
      </w:pPr>
      <w:r>
        <w:rPr>
          <w:rFonts w:ascii="Arial" w:cs="Arial" w:eastAsia="Arial" w:hAnsi="Arial"/>
          <w:color w:val="555555"/>
          <w:sz w:val="24"/>
          <w:szCs w:val="24"/>
        </w:rPr>
        <w:t xml:space="preserve">Prédiction de la Durée de Remboursement d'un Crédit Immobilier</w:t>
      </w:r>
    </w:p>
    <w:p>
      <w:pPr>
        <w:spacing w:before="4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Titre du projet</w:t>
            </w:r>
          </w:p>
        </w:tc>
        <w:tc>
          <w:tcPr>
            <w:tcW w:type="dxa" w:w="552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sz w:val="20"/>
                <w:szCs w:val="20"/>
              </w:rPr>
              <w:t xml:space="preserve">Crédit Bancaire &amp; Scoring</w:t>
            </w:r>
          </w:p>
        </w:tc>
      </w:tr>
      <w:tr>
        <w:tc>
          <w:tcPr>
            <w:tcW w:type="dxa" w:w="35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Type de tâche</w:t>
            </w:r>
          </w:p>
        </w:tc>
        <w:tc>
          <w:tcPr>
            <w:tcW w:type="dxa" w:w="552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sz w:val="20"/>
                <w:szCs w:val="20"/>
              </w:rPr>
              <w:t xml:space="preserve">Prédiction (Régression supervisée)</w:t>
            </w:r>
          </w:p>
        </w:tc>
      </w:tr>
      <w:tr>
        <w:tc>
          <w:tcPr>
            <w:tcW w:type="dxa" w:w="35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Variable cible</w:t>
            </w:r>
          </w:p>
        </w:tc>
        <w:tc>
          <w:tcPr>
            <w:tcW w:type="dxa" w:w="552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sz w:val="20"/>
                <w:szCs w:val="20"/>
              </w:rPr>
              <w:t xml:space="preserve">Durée effective de remboursement (en mois)</w:t>
            </w:r>
          </w:p>
        </w:tc>
      </w:tr>
      <w:tr>
        <w:tc>
          <w:tcPr>
            <w:tcW w:type="dxa" w:w="35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Source de données</w:t>
            </w:r>
          </w:p>
        </w:tc>
        <w:tc>
          <w:tcPr>
            <w:tcW w:type="dxa" w:w="552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sz w:val="20"/>
                <w:szCs w:val="20"/>
              </w:rPr>
              <w:t xml:space="preserve">Données simulées BAM + Kaggle Home Credit</w:t>
            </w:r>
          </w:p>
        </w:tc>
      </w:tr>
      <w:tr>
        <w:tc>
          <w:tcPr>
            <w:tcW w:type="dxa" w:w="35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Intérêt pédagogique</w:t>
            </w:r>
          </w:p>
        </w:tc>
        <w:tc>
          <w:tcPr>
            <w:tcW w:type="dxa" w:w="552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sz w:val="20"/>
                <w:szCs w:val="20"/>
              </w:rPr>
              <w:t xml:space="preserve">Régression avec variables temporelles</w:t>
            </w:r>
          </w:p>
        </w:tc>
      </w:tr>
      <w:tr>
        <w:tc>
          <w:tcPr>
            <w:tcW w:type="dxa" w:w="35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Domaine d'application</w:t>
            </w:r>
          </w:p>
        </w:tc>
        <w:tc>
          <w:tcPr>
            <w:tcW w:type="dxa" w:w="552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sz w:val="20"/>
                <w:szCs w:val="20"/>
              </w:rPr>
              <w:t xml:space="preserve">Produits hypothécaires au Maroc</w:t>
            </w:r>
          </w:p>
        </w:tc>
      </w:tr>
      <w:tr>
        <w:tc>
          <w:tcPr>
            <w:tcW w:type="dxa" w:w="35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Date de rédaction</w:t>
            </w:r>
          </w:p>
        </w:tc>
        <w:tc>
          <w:tcPr>
            <w:tcW w:type="dxa" w:w="552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sz w:val="20"/>
                <w:szCs w:val="20"/>
              </w:rPr>
              <w:t xml:space="preserve">26 mars 2026</w:t>
            </w:r>
          </w:p>
        </w:tc>
      </w:tr>
      <w:tr>
        <w:tc>
          <w:tcPr>
            <w:tcW w:type="dxa" w:w="35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Niveau</w:t>
            </w:r>
          </w:p>
        </w:tc>
        <w:tc>
          <w:tcPr>
            <w:tcW w:type="dxa" w:w="552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sz w:val="20"/>
                <w:szCs w:val="20"/>
              </w:rPr>
              <w:t xml:space="preserve">Master / Formation Data Science Appliquée</w:t>
            </w:r>
          </w:p>
        </w:tc>
      </w:tr>
    </w:tbl>
    <w:p>
      <w:pPr>
        <w:spacing w:before="600" w:after="0"/>
      </w:pPr>
      <w:r>
        <w:t xml:space="preserve"/>
      </w:r>
    </w:p>
    <w:p>
      <w:r>
        <w:br w:type="page"/>
      </w:r>
    </w:p>
    <w:p>
      <w:pPr>
        <w:pStyle w:val="Heading1"/>
        <w:spacing w:before="360" w:after="200"/>
      </w:pPr>
      <w:r>
        <w:rPr>
          <w:rFonts w:ascii="Arial" w:cs="Arial" w:eastAsia="Arial" w:hAnsi="Arial"/>
          <w:b/>
          <w:bCs/>
          <w:color w:val="1A5276"/>
          <w:sz w:val="28"/>
          <w:szCs w:val="28"/>
        </w:rPr>
        <w:t xml:space="preserve">1. Contexte et Justification du Projet</w:t>
      </w:r>
    </w:p>
    <w:p>
      <w:pPr>
        <w:spacing w:before="100" w:after="100" w:line="276"/>
        <w:jc w:val="both"/>
      </w:pPr>
      <w:r>
        <w:rPr>
          <w:rFonts w:ascii="Arial" w:cs="Arial" w:eastAsia="Arial" w:hAnsi="Arial"/>
          <w:b w:val="false"/>
          <w:bCs w:val="false"/>
          <w:color w:val="000000"/>
          <w:sz w:val="22"/>
          <w:szCs w:val="22"/>
        </w:rPr>
        <w:t xml:space="preserve">Le secteur bancaire marocain connaît depuis une décennie une transformation profonde, portée par la digitalisation, les exigences réglementaires de Bank Al-Maghrib (BAM) et la montée en puissance du crédit immobilier. Face à cette dynamique, les établissements financiers cherchent à améliorer leurs modèles de scoring et de gestion des risques afin d'optimiser l'octroi de crédit tout en minimisant les impayés.</w:t>
      </w:r>
    </w:p>
    <w:p>
      <w:pPr>
        <w:spacing w:before="100" w:after="0"/>
      </w:pPr>
      <w:r>
        <w:t xml:space="preserve"/>
      </w:r>
    </w:p>
    <w:p>
      <w:pPr>
        <w:spacing w:before="100" w:after="100" w:line="276"/>
        <w:jc w:val="both"/>
      </w:pPr>
      <w:r>
        <w:rPr>
          <w:rFonts w:ascii="Arial" w:cs="Arial" w:eastAsia="Arial" w:hAnsi="Arial"/>
          <w:b w:val="false"/>
          <w:bCs w:val="false"/>
          <w:color w:val="000000"/>
          <w:sz w:val="22"/>
          <w:szCs w:val="22"/>
        </w:rPr>
        <w:t xml:space="preserve">Ce projet s'inscrit dans cette logique en proposant un modèle prédictif de la durée effective de remboursement d'un crédit immobilier. Contrairement aux approches classiques qui se limitent à l'acceptation ou au refus d'un crédit (classification binaire), ce projet adopte une approche de régression afin de quantifier le temps réel que mettra un emprunteur à honorer ses engagements.</w:t>
      </w:r>
    </w:p>
    <w:p>
      <w:pPr>
        <w:spacing w:before="100" w:after="0"/>
      </w:pPr>
      <w:r>
        <w:t xml:space="preserve"/>
      </w:r>
    </w:p>
    <w:p>
      <w:pPr>
        <w:spacing w:before="100" w:after="100" w:line="276"/>
        <w:jc w:val="both"/>
      </w:pPr>
      <w:r>
        <w:rPr>
          <w:rFonts w:ascii="Arial" w:cs="Arial" w:eastAsia="Arial" w:hAnsi="Arial"/>
          <w:b w:val="false"/>
          <w:bCs w:val="false"/>
          <w:color w:val="000000"/>
          <w:sz w:val="22"/>
          <w:szCs w:val="22"/>
        </w:rPr>
        <w:t xml:space="preserve">Au Maroc, les crédits immobiliers représentent une part croissante du portefeuille des banques. Selon les données de BAM, ces crédits constituent plus de 30 % de l'encours global de crédit aux ménages. Une mauvaise estimation de la durée de remboursement expose les banques à des risques de liquidité, de taux d'intérêt et de refinancement. Un modèle fiable de prédiction permettrait une meilleure tarification des produits hypothécaires et une allocation optimale des fonds propres réglementaires.</w:t>
      </w:r>
    </w:p>
    <w:p>
      <w:pPr>
        <w:spacing w:before="200" w:after="0"/>
      </w:pPr>
      <w:r>
        <w:t xml:space="preserve"/>
      </w:r>
    </w:p>
    <w:p>
      <w:pPr>
        <w:pStyle w:val="Heading2"/>
        <w:spacing w:before="280" w:after="160"/>
      </w:pPr>
      <w:r>
        <w:rPr>
          <w:rFonts w:ascii="Arial" w:cs="Arial" w:eastAsia="Arial" w:hAnsi="Arial"/>
          <w:b/>
          <w:bCs/>
          <w:color w:val="2471A3"/>
          <w:sz w:val="24"/>
          <w:szCs w:val="24"/>
        </w:rPr>
        <w:t xml:space="preserve">1.1 Problématique centrale</w:t>
      </w:r>
    </w:p>
    <w:p>
      <w:pPr>
        <w:spacing w:before="100" w:after="100" w:line="276"/>
        <w:jc w:val="both"/>
      </w:pPr>
      <w:r>
        <w:rPr>
          <w:rFonts w:ascii="Arial" w:cs="Arial" w:eastAsia="Arial" w:hAnsi="Arial"/>
          <w:b w:val="false"/>
          <w:bCs w:val="false"/>
          <w:color w:val="000000"/>
          <w:sz w:val="22"/>
          <w:szCs w:val="22"/>
        </w:rPr>
        <w:t xml:space="preserve">Comment prédire, avec une précision acceptable, la durée effective de remboursement d'un crédit immobilier accordé à un ménage marocain, en tenant compte des caractéristiques socio-économiques de l'emprunteur, des conditions du marché et des clauses contractuelles du prêt ?</w:t>
      </w:r>
    </w:p>
    <w:p>
      <w:pPr>
        <w:spacing w:before="200" w:after="0"/>
      </w:pPr>
      <w:r>
        <w:t xml:space="preserve"/>
      </w:r>
    </w:p>
    <w:p>
      <w:pPr>
        <w:pStyle w:val="Heading2"/>
        <w:spacing w:before="280" w:after="160"/>
      </w:pPr>
      <w:r>
        <w:rPr>
          <w:rFonts w:ascii="Arial" w:cs="Arial" w:eastAsia="Arial" w:hAnsi="Arial"/>
          <w:b/>
          <w:bCs/>
          <w:color w:val="2471A3"/>
          <w:sz w:val="24"/>
          <w:szCs w:val="24"/>
        </w:rPr>
        <w:t xml:space="preserve">1.2 Hypothèses de départ</w:t>
      </w:r>
    </w:p>
    <w:p>
      <w:pPr>
        <w:pStyle w:val="ListParagraph"/>
        <w:numPr>
          <w:ilvl w:val="0"/>
          <w:numId w:val="2"/>
        </w:numPr>
        <w:spacing w:before="60" w:after="60"/>
      </w:pPr>
      <w:r>
        <w:rPr>
          <w:rFonts w:ascii="Arial" w:cs="Arial" w:eastAsia="Arial" w:hAnsi="Arial"/>
          <w:sz w:val="22"/>
          <w:szCs w:val="22"/>
        </w:rPr>
        <w:t xml:space="preserve">La durée contractuelle n'est pas toujours respectée : remboursements anticipés, restructurations ou impayés prolongés modifient la durée réelle.</w:t>
      </w:r>
    </w:p>
    <w:p>
      <w:pPr>
        <w:pStyle w:val="ListParagraph"/>
        <w:numPr>
          <w:ilvl w:val="0"/>
          <w:numId w:val="2"/>
        </w:numPr>
        <w:spacing w:before="60" w:after="60"/>
      </w:pPr>
      <w:r>
        <w:rPr>
          <w:rFonts w:ascii="Arial" w:cs="Arial" w:eastAsia="Arial" w:hAnsi="Arial"/>
          <w:sz w:val="22"/>
          <w:szCs w:val="22"/>
        </w:rPr>
        <w:t xml:space="preserve">Les variables comportementales (historique de paiement, ratio d'endettement) ont un pouvoir prédictif supérieur aux variables démographiques seules.</w:t>
      </w:r>
    </w:p>
    <w:p>
      <w:pPr>
        <w:pStyle w:val="ListParagraph"/>
        <w:numPr>
          <w:ilvl w:val="0"/>
          <w:numId w:val="2"/>
        </w:numPr>
        <w:spacing w:before="60" w:after="60"/>
      </w:pPr>
      <w:r>
        <w:rPr>
          <w:rFonts w:ascii="Arial" w:cs="Arial" w:eastAsia="Arial" w:hAnsi="Arial"/>
          <w:sz w:val="22"/>
          <w:szCs w:val="22"/>
        </w:rPr>
        <w:t xml:space="preserve">Le contexte macroéconomique marocain (taux directeur BAM, indice des prix à la consommation) influence les comportements de remboursement.</w:t>
      </w:r>
    </w:p>
    <w:p>
      <w:pPr>
        <w:pStyle w:val="ListParagraph"/>
        <w:numPr>
          <w:ilvl w:val="0"/>
          <w:numId w:val="2"/>
        </w:numPr>
        <w:spacing w:before="60" w:after="60"/>
      </w:pPr>
      <w:r>
        <w:rPr>
          <w:rFonts w:ascii="Arial" w:cs="Arial" w:eastAsia="Arial" w:hAnsi="Arial"/>
          <w:sz w:val="22"/>
          <w:szCs w:val="22"/>
        </w:rPr>
        <w:t xml:space="preserve">Les modèles de régression gradient boosting surpasseront les régressions linéaires classiques sur ce type de données.</w:t>
      </w:r>
    </w:p>
    <w:p>
      <w:pPr>
        <w:spacing w:before="400" w:after="0"/>
      </w:pPr>
      <w:r>
        <w:t xml:space="preserve"/>
      </w:r>
    </w:p>
    <w:p>
      <w:r>
        <w:br w:type="page"/>
      </w:r>
    </w:p>
    <w:p>
      <w:pPr>
        <w:pStyle w:val="Heading1"/>
        <w:spacing w:before="360" w:after="200"/>
      </w:pPr>
      <w:r>
        <w:rPr>
          <w:rFonts w:ascii="Arial" w:cs="Arial" w:eastAsia="Arial" w:hAnsi="Arial"/>
          <w:b/>
          <w:bCs/>
          <w:color w:val="1A5276"/>
          <w:sz w:val="28"/>
          <w:szCs w:val="28"/>
        </w:rPr>
        <w:t xml:space="preserve">2. Objectifs Pédagogiques et Scientifiques</w:t>
      </w:r>
    </w:p>
    <w:p>
      <w:pPr>
        <w:spacing w:before="100" w:after="100" w:line="276"/>
        <w:jc w:val="both"/>
      </w:pPr>
      <w:r>
        <w:rPr>
          <w:rFonts w:ascii="Arial" w:cs="Arial" w:eastAsia="Arial" w:hAnsi="Arial"/>
          <w:b w:val="false"/>
          <w:bCs w:val="false"/>
          <w:color w:val="000000"/>
          <w:sz w:val="22"/>
          <w:szCs w:val="22"/>
        </w:rPr>
        <w:t xml:space="preserve">Ce projet présente un double intérêt : scientifique, par la résolution d'un problème réel de prédiction temporelle, et pédagogique, par la mise en pratique d'un ensemble de compétences en data science appliquée à la finance.</w:t>
      </w:r>
    </w:p>
    <w:p>
      <w:pPr>
        <w:spacing w:before="150" w:after="0"/>
      </w:pPr>
      <w:r>
        <w:t xml:space="preserve"/>
      </w:r>
    </w:p>
    <w:p>
      <w:pPr>
        <w:pStyle w:val="Heading2"/>
        <w:spacing w:before="280" w:after="160"/>
      </w:pPr>
      <w:r>
        <w:rPr>
          <w:rFonts w:ascii="Arial" w:cs="Arial" w:eastAsia="Arial" w:hAnsi="Arial"/>
          <w:b/>
          <w:bCs/>
          <w:color w:val="2471A3"/>
          <w:sz w:val="24"/>
          <w:szCs w:val="24"/>
        </w:rPr>
        <w:t xml:space="preserve">2.1 Objectifs pédagogiques</w:t>
      </w:r>
    </w:p>
    <w:p>
      <w:pPr>
        <w:pStyle w:val="ListParagraph"/>
        <w:numPr>
          <w:ilvl w:val="0"/>
          <w:numId w:val="2"/>
        </w:numPr>
        <w:spacing w:before="60" w:after="60"/>
      </w:pPr>
      <w:r>
        <w:rPr>
          <w:rFonts w:ascii="Arial" w:cs="Arial" w:eastAsia="Arial" w:hAnsi="Arial"/>
          <w:sz w:val="22"/>
          <w:szCs w:val="22"/>
        </w:rPr>
        <w:t xml:space="preserve">Maîtriser les techniques de régression supervisée : régression linéaire, Ridge, Lasso, Random Forest Regressor, Gradient Boosting (XGBoost, LightGBM).</w:t>
      </w:r>
    </w:p>
    <w:p>
      <w:pPr>
        <w:pStyle w:val="ListParagraph"/>
        <w:numPr>
          <w:ilvl w:val="0"/>
          <w:numId w:val="2"/>
        </w:numPr>
        <w:spacing w:before="60" w:after="60"/>
      </w:pPr>
      <w:r>
        <w:rPr>
          <w:rFonts w:ascii="Arial" w:cs="Arial" w:eastAsia="Arial" w:hAnsi="Arial"/>
          <w:sz w:val="22"/>
          <w:szCs w:val="22"/>
        </w:rPr>
        <w:t xml:space="preserve">Appréhender la gestion des variables temporelles dans un modèle prédictif (dates de début, durées, intervalles, lag features).</w:t>
      </w:r>
    </w:p>
    <w:p>
      <w:pPr>
        <w:pStyle w:val="ListParagraph"/>
        <w:numPr>
          <w:ilvl w:val="0"/>
          <w:numId w:val="2"/>
        </w:numPr>
        <w:spacing w:before="60" w:after="60"/>
      </w:pPr>
      <w:r>
        <w:rPr>
          <w:rFonts w:ascii="Arial" w:cs="Arial" w:eastAsia="Arial" w:hAnsi="Arial"/>
          <w:sz w:val="22"/>
          <w:szCs w:val="22"/>
        </w:rPr>
        <w:t xml:space="preserve">Appliquer les bonnes pratiques de prétraitement des données financières : imputation, encodage, normalisation.</w:t>
      </w:r>
    </w:p>
    <w:p>
      <w:pPr>
        <w:pStyle w:val="ListParagraph"/>
        <w:numPr>
          <w:ilvl w:val="0"/>
          <w:numId w:val="2"/>
        </w:numPr>
        <w:spacing w:before="60" w:after="60"/>
      </w:pPr>
      <w:r>
        <w:rPr>
          <w:rFonts w:ascii="Arial" w:cs="Arial" w:eastAsia="Arial" w:hAnsi="Arial"/>
          <w:sz w:val="22"/>
          <w:szCs w:val="22"/>
        </w:rPr>
        <w:t xml:space="preserve">Interpréter les métriques de régression (MAE, RMSE, R²) dans un contexte métier bancaire.</w:t>
      </w:r>
    </w:p>
    <w:p>
      <w:pPr>
        <w:pStyle w:val="ListParagraph"/>
        <w:numPr>
          <w:ilvl w:val="0"/>
          <w:numId w:val="2"/>
        </w:numPr>
        <w:spacing w:before="60" w:after="60"/>
      </w:pPr>
      <w:r>
        <w:rPr>
          <w:rFonts w:ascii="Arial" w:cs="Arial" w:eastAsia="Arial" w:hAnsi="Arial"/>
          <w:sz w:val="22"/>
          <w:szCs w:val="22"/>
        </w:rPr>
        <w:t xml:space="preserve">Développer une sensibilité à la réglementation bancaire marocaine et aux implications éthiques du scoring.</w:t>
      </w:r>
    </w:p>
    <w:p>
      <w:pPr>
        <w:spacing w:before="150" w:after="0"/>
      </w:pPr>
      <w:r>
        <w:t xml:space="preserve"/>
      </w:r>
    </w:p>
    <w:p>
      <w:pPr>
        <w:pStyle w:val="Heading2"/>
        <w:spacing w:before="280" w:after="160"/>
      </w:pPr>
      <w:r>
        <w:rPr>
          <w:rFonts w:ascii="Arial" w:cs="Arial" w:eastAsia="Arial" w:hAnsi="Arial"/>
          <w:b/>
          <w:bCs/>
          <w:color w:val="2471A3"/>
          <w:sz w:val="24"/>
          <w:szCs w:val="24"/>
        </w:rPr>
        <w:t xml:space="preserve">2.2 Objectifs scientifiques</w:t>
      </w:r>
    </w:p>
    <w:p>
      <w:pPr>
        <w:pStyle w:val="ListParagraph"/>
        <w:numPr>
          <w:ilvl w:val="0"/>
          <w:numId w:val="2"/>
        </w:numPr>
        <w:spacing w:before="60" w:after="60"/>
      </w:pPr>
      <w:r>
        <w:rPr>
          <w:rFonts w:ascii="Arial" w:cs="Arial" w:eastAsia="Arial" w:hAnsi="Arial"/>
          <w:sz w:val="22"/>
          <w:szCs w:val="22"/>
        </w:rPr>
        <w:t xml:space="preserve">Construire un modèle robuste capable de prédire la durée de remboursement avec une erreur absolue moyenne inférieure à 6 mois.</w:t>
      </w:r>
    </w:p>
    <w:p>
      <w:pPr>
        <w:pStyle w:val="ListParagraph"/>
        <w:numPr>
          <w:ilvl w:val="0"/>
          <w:numId w:val="2"/>
        </w:numPr>
        <w:spacing w:before="60" w:after="60"/>
      </w:pPr>
      <w:r>
        <w:rPr>
          <w:rFonts w:ascii="Arial" w:cs="Arial" w:eastAsia="Arial" w:hAnsi="Arial"/>
          <w:sz w:val="22"/>
          <w:szCs w:val="22"/>
        </w:rPr>
        <w:t xml:space="preserve">Identifier les variables les plus influentes via l'analyse d'importance des features (SHAP values).</w:t>
      </w:r>
    </w:p>
    <w:p>
      <w:pPr>
        <w:pStyle w:val="ListParagraph"/>
        <w:numPr>
          <w:ilvl w:val="0"/>
          <w:numId w:val="2"/>
        </w:numPr>
        <w:spacing w:before="60" w:after="60"/>
      </w:pPr>
      <w:r>
        <w:rPr>
          <w:rFonts w:ascii="Arial" w:cs="Arial" w:eastAsia="Arial" w:hAnsi="Arial"/>
          <w:sz w:val="22"/>
          <w:szCs w:val="22"/>
        </w:rPr>
        <w:t xml:space="preserve">Comparer les performances de plusieurs algorithmes de régression sur un jeu de données hybride simulé/réel.</w:t>
      </w:r>
    </w:p>
    <w:p>
      <w:pPr>
        <w:pStyle w:val="ListParagraph"/>
        <w:numPr>
          <w:ilvl w:val="0"/>
          <w:numId w:val="2"/>
        </w:numPr>
        <w:spacing w:before="60" w:after="60"/>
      </w:pPr>
      <w:r>
        <w:rPr>
          <w:rFonts w:ascii="Arial" w:cs="Arial" w:eastAsia="Arial" w:hAnsi="Arial"/>
          <w:sz w:val="22"/>
          <w:szCs w:val="22"/>
        </w:rPr>
        <w:t xml:space="preserve">Analyser la stabilité du modèle sur différents segments de la population (tranche d'âge, zone géographique, niveau de revenu).</w:t>
      </w:r>
    </w:p>
    <w:p>
      <w:pPr>
        <w:spacing w:before="400" w:after="0"/>
      </w:pPr>
      <w:r>
        <w:t xml:space="preserve"/>
      </w:r>
    </w:p>
    <w:p>
      <w:r>
        <w:br w:type="page"/>
      </w:r>
    </w:p>
    <w:p>
      <w:pPr>
        <w:pStyle w:val="Heading1"/>
        <w:spacing w:before="360" w:after="200"/>
      </w:pPr>
      <w:r>
        <w:rPr>
          <w:rFonts w:ascii="Arial" w:cs="Arial" w:eastAsia="Arial" w:hAnsi="Arial"/>
          <w:b/>
          <w:bCs/>
          <w:color w:val="1A5276"/>
          <w:sz w:val="28"/>
          <w:szCs w:val="28"/>
        </w:rPr>
        <w:t xml:space="preserve">3. Description des Données</w:t>
      </w:r>
    </w:p>
    <w:p>
      <w:pPr>
        <w:pStyle w:val="Heading2"/>
        <w:spacing w:before="280" w:after="160"/>
      </w:pPr>
      <w:r>
        <w:rPr>
          <w:rFonts w:ascii="Arial" w:cs="Arial" w:eastAsia="Arial" w:hAnsi="Arial"/>
          <w:b/>
          <w:bCs/>
          <w:color w:val="2471A3"/>
          <w:sz w:val="24"/>
          <w:szCs w:val="24"/>
        </w:rPr>
        <w:t xml:space="preserve">3.1 Sources de données</w:t>
      </w:r>
    </w:p>
    <w:p>
      <w:pPr>
        <w:spacing w:before="100" w:after="100" w:line="276"/>
        <w:jc w:val="both"/>
      </w:pPr>
      <w:r>
        <w:rPr>
          <w:rFonts w:ascii="Arial" w:cs="Arial" w:eastAsia="Arial" w:hAnsi="Arial"/>
          <w:b w:val="false"/>
          <w:bCs w:val="false"/>
          <w:color w:val="000000"/>
          <w:sz w:val="22"/>
          <w:szCs w:val="22"/>
        </w:rPr>
        <w:t xml:space="preserve">Le projet exploite deux sources complémentaires afin de pallier les limites de chacune et d'assurer à la fois la richesse des variables et l'ancrage dans le contexte marocain.</w:t>
      </w:r>
    </w:p>
    <w:p>
      <w:pPr>
        <w:spacing w:before="15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3008"/>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Source</w:t>
            </w:r>
          </w:p>
        </w:tc>
        <w:tc>
          <w:tcPr>
            <w:tcW w:type="dxa" w:w="3008"/>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3008"/>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Apport principal</w:t>
            </w:r>
          </w:p>
        </w:tc>
      </w:tr>
      <w:tr>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BAM simulée</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Données fictives générées selon les distributions statistiques publiées par Bank Al-Maghrib (2020-2023)</w:t>
            </w:r>
          </w:p>
        </w:tc>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Variables contextuelles marocaines : taux d'intérêt, durée contractuelle, type de bien</w:t>
            </w:r>
          </w:p>
        </w:tc>
      </w:tr>
      <w:tr>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Kaggle Home Credit</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Dataset public de 307 511 observations avec 122 variables sur les demandes de crédit</w:t>
            </w:r>
          </w:p>
        </w:tc>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Variables comportementales et historique de crédit</w:t>
            </w:r>
          </w:p>
        </w:tc>
      </w:tr>
    </w:tbl>
    <w:p>
      <w:pPr>
        <w:spacing w:before="200" w:after="0"/>
      </w:pPr>
      <w:r>
        <w:t xml:space="preserve"/>
      </w:r>
    </w:p>
    <w:p>
      <w:pPr>
        <w:pStyle w:val="Heading2"/>
        <w:spacing w:before="280" w:after="160"/>
      </w:pPr>
      <w:r>
        <w:rPr>
          <w:rFonts w:ascii="Arial" w:cs="Arial" w:eastAsia="Arial" w:hAnsi="Arial"/>
          <w:b/>
          <w:bCs/>
          <w:color w:val="2471A3"/>
          <w:sz w:val="24"/>
          <w:szCs w:val="24"/>
        </w:rPr>
        <w:t xml:space="preserve">3.2 Variables disponibles</w:t>
      </w:r>
    </w:p>
    <w:p>
      <w:pPr>
        <w:spacing w:before="100" w:after="100" w:line="276"/>
        <w:jc w:val="both"/>
      </w:pPr>
      <w:r>
        <w:rPr>
          <w:rFonts w:ascii="Arial" w:cs="Arial" w:eastAsia="Arial" w:hAnsi="Arial"/>
          <w:b w:val="false"/>
          <w:bCs w:val="false"/>
          <w:color w:val="000000"/>
          <w:sz w:val="22"/>
          <w:szCs w:val="22"/>
        </w:rPr>
        <w:t xml:space="preserve">L'ensemble de données final comprend les catégories de variables suivantes :</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3008"/>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Catégorie</w:t>
            </w:r>
          </w:p>
        </w:tc>
        <w:tc>
          <w:tcPr>
            <w:tcW w:type="dxa" w:w="3008"/>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Exemples de variables</w:t>
            </w:r>
          </w:p>
        </w:tc>
        <w:tc>
          <w:tcPr>
            <w:tcW w:type="dxa" w:w="3008"/>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r>
      <w:tr>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Profil emprunteur</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Âge, situation familiale, niveau d'études, revenu mensuel</w:t>
            </w:r>
          </w:p>
        </w:tc>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Numérique / Catégoriel</w:t>
            </w:r>
          </w:p>
        </w:tc>
      </w:tr>
      <w:tr>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Caractéristiques du crédit</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Montant emprunté, apport initial, taux appliqué, durée contractuelle</w:t>
            </w:r>
          </w:p>
        </w:tc>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Numérique</w:t>
            </w:r>
          </w:p>
        </w:tc>
      </w:tr>
      <w:tr>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Comportement financier</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Ratio d'endettement, historique de retards, nombre de crédits actifs</w:t>
            </w:r>
          </w:p>
        </w:tc>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Numérique</w:t>
            </w:r>
          </w:p>
        </w:tc>
      </w:tr>
      <w:tr>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Variables temporelles</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Date de déblocage, mois de début, cycle économique, saisonnalité</w:t>
            </w:r>
          </w:p>
        </w:tc>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Date / Dérivées</w:t>
            </w:r>
          </w:p>
        </w:tc>
      </w:tr>
      <w:tr>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Contexte macro</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Taux directeur BAM, inflation, indice immobilier MAPI</w:t>
            </w:r>
          </w:p>
        </w:tc>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Numérique</w:t>
            </w:r>
          </w:p>
        </w:tc>
      </w:tr>
      <w:tr>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Variable cible</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Durée effective de remboursement (en mois)</w:t>
            </w:r>
          </w:p>
        </w:tc>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Numérique continu</w:t>
            </w:r>
          </w:p>
        </w:tc>
      </w:tr>
    </w:tbl>
    <w:p>
      <w:pPr>
        <w:spacing w:before="200" w:after="0"/>
      </w:pPr>
      <w:r>
        <w:t xml:space="preserve"/>
      </w:r>
    </w:p>
    <w:p>
      <w:pPr>
        <w:pStyle w:val="Heading2"/>
        <w:spacing w:before="280" w:after="160"/>
      </w:pPr>
      <w:r>
        <w:rPr>
          <w:rFonts w:ascii="Arial" w:cs="Arial" w:eastAsia="Arial" w:hAnsi="Arial"/>
          <w:b/>
          <w:bCs/>
          <w:color w:val="2471A3"/>
          <w:sz w:val="24"/>
          <w:szCs w:val="24"/>
        </w:rPr>
        <w:t xml:space="preserve">3.3 Volume et qualité des données</w:t>
      </w:r>
    </w:p>
    <w:p>
      <w:pPr>
        <w:pStyle w:val="ListParagraph"/>
        <w:numPr>
          <w:ilvl w:val="0"/>
          <w:numId w:val="2"/>
        </w:numPr>
        <w:spacing w:before="60" w:after="60"/>
      </w:pPr>
      <w:r>
        <w:rPr>
          <w:rFonts w:ascii="Arial" w:cs="Arial" w:eastAsia="Arial" w:hAnsi="Arial"/>
          <w:sz w:val="22"/>
          <w:szCs w:val="22"/>
        </w:rPr>
        <w:t xml:space="preserve">Volume total estimé : entre 15 000 et 50 000 observations après fusion et nettoyage.</w:t>
      </w:r>
    </w:p>
    <w:p>
      <w:pPr>
        <w:pStyle w:val="ListParagraph"/>
        <w:numPr>
          <w:ilvl w:val="0"/>
          <w:numId w:val="2"/>
        </w:numPr>
        <w:spacing w:before="60" w:after="60"/>
      </w:pPr>
      <w:r>
        <w:rPr>
          <w:rFonts w:ascii="Arial" w:cs="Arial" w:eastAsia="Arial" w:hAnsi="Arial"/>
          <w:sz w:val="22"/>
          <w:szCs w:val="22"/>
        </w:rPr>
        <w:t xml:space="preserve">Taux de valeurs manquantes attendu : 5 à 15 % selon les variables, nécessitant une stratégie d'imputation adaptée.</w:t>
      </w:r>
    </w:p>
    <w:p>
      <w:pPr>
        <w:pStyle w:val="ListParagraph"/>
        <w:numPr>
          <w:ilvl w:val="0"/>
          <w:numId w:val="2"/>
        </w:numPr>
        <w:spacing w:before="60" w:after="60"/>
      </w:pPr>
      <w:r>
        <w:rPr>
          <w:rFonts w:ascii="Arial" w:cs="Arial" w:eastAsia="Arial" w:hAnsi="Arial"/>
          <w:sz w:val="22"/>
          <w:szCs w:val="22"/>
        </w:rPr>
        <w:t xml:space="preserve">Déséquilibre éventuel : la distribution de la variable cible pourrait être asymétrique (skewness) en raison des remboursements anticipés.</w:t>
      </w:r>
    </w:p>
    <w:p>
      <w:pPr>
        <w:pStyle w:val="ListParagraph"/>
        <w:numPr>
          <w:ilvl w:val="0"/>
          <w:numId w:val="2"/>
        </w:numPr>
        <w:spacing w:before="60" w:after="60"/>
      </w:pPr>
      <w:r>
        <w:rPr>
          <w:rFonts w:ascii="Arial" w:cs="Arial" w:eastAsia="Arial" w:hAnsi="Arial"/>
          <w:sz w:val="22"/>
          <w:szCs w:val="22"/>
        </w:rPr>
        <w:t xml:space="preserve">Confidentialité : les données BAM étant simulées, aucune contrainte RGPD ne s'applique directement, mais les bonnes pratiques de pseudonymisation seront respectées.</w:t>
      </w:r>
    </w:p>
    <w:p>
      <w:pPr>
        <w:spacing w:before="400" w:after="0"/>
      </w:pPr>
      <w:r>
        <w:t xml:space="preserve"/>
      </w:r>
    </w:p>
    <w:p>
      <w:r>
        <w:br w:type="page"/>
      </w:r>
    </w:p>
    <w:p>
      <w:pPr>
        <w:pStyle w:val="Heading1"/>
        <w:spacing w:before="360" w:after="200"/>
      </w:pPr>
      <w:r>
        <w:rPr>
          <w:rFonts w:ascii="Arial" w:cs="Arial" w:eastAsia="Arial" w:hAnsi="Arial"/>
          <w:b/>
          <w:bCs/>
          <w:color w:val="1A5276"/>
          <w:sz w:val="28"/>
          <w:szCs w:val="28"/>
        </w:rPr>
        <w:t xml:space="preserve">4. Méthodologie</w:t>
      </w:r>
    </w:p>
    <w:p>
      <w:pPr>
        <w:pStyle w:val="Heading2"/>
        <w:spacing w:before="280" w:after="160"/>
      </w:pPr>
      <w:r>
        <w:rPr>
          <w:rFonts w:ascii="Arial" w:cs="Arial" w:eastAsia="Arial" w:hAnsi="Arial"/>
          <w:b/>
          <w:bCs/>
          <w:color w:val="2471A3"/>
          <w:sz w:val="24"/>
          <w:szCs w:val="24"/>
        </w:rPr>
        <w:t xml:space="preserve">4.1 Pipeline de traitement des données</w:t>
      </w:r>
    </w:p>
    <w:p>
      <w:pPr>
        <w:spacing w:before="100" w:after="100" w:line="276"/>
        <w:jc w:val="both"/>
      </w:pPr>
      <w:r>
        <w:rPr>
          <w:rFonts w:ascii="Arial" w:cs="Arial" w:eastAsia="Arial" w:hAnsi="Arial"/>
          <w:b w:val="false"/>
          <w:bCs w:val="false"/>
          <w:color w:val="000000"/>
          <w:sz w:val="22"/>
          <w:szCs w:val="22"/>
        </w:rPr>
        <w:t xml:space="preserve">La méthodologie adoptée suit un pipeline structuré en six étapes, conforme aux standards industriels de la data science appliquée à la finance :</w:t>
      </w:r>
    </w:p>
    <w:p>
      <w:pPr>
        <w:spacing w:before="150" w:after="0"/>
      </w:pPr>
      <w:r>
        <w:t xml:space="preserve"/>
      </w:r>
    </w:p>
    <w:p>
      <w:pPr>
        <w:pStyle w:val="ListParagraph"/>
        <w:numPr>
          <w:ilvl w:val="0"/>
          <w:numId w:val="2"/>
        </w:numPr>
        <w:spacing w:before="60" w:after="60"/>
      </w:pPr>
      <w:r>
        <w:rPr>
          <w:rFonts w:ascii="Arial" w:cs="Arial" w:eastAsia="Arial" w:hAnsi="Arial"/>
          <w:sz w:val="22"/>
          <w:szCs w:val="22"/>
        </w:rPr>
        <w:t xml:space="preserve">Étape 1 — Collecte et fusion : Intégration des deux sources de données via une clé commune (identifiant de prêt simulé), vérification de la cohérence des référentiels.</w:t>
      </w:r>
    </w:p>
    <w:p>
      <w:pPr>
        <w:pStyle w:val="ListParagraph"/>
        <w:numPr>
          <w:ilvl w:val="0"/>
          <w:numId w:val="2"/>
        </w:numPr>
        <w:spacing w:before="60" w:after="60"/>
      </w:pPr>
      <w:r>
        <w:rPr>
          <w:rFonts w:ascii="Arial" w:cs="Arial" w:eastAsia="Arial" w:hAnsi="Arial"/>
          <w:sz w:val="22"/>
          <w:szCs w:val="22"/>
        </w:rPr>
        <w:t xml:space="preserve">Étape 2 — Exploration (EDA) : Analyse univariée et bivariée, matrices de corrélation, détection des outliers par méthode IQR et z-score.</w:t>
      </w:r>
    </w:p>
    <w:p>
      <w:pPr>
        <w:pStyle w:val="ListParagraph"/>
        <w:numPr>
          <w:ilvl w:val="0"/>
          <w:numId w:val="2"/>
        </w:numPr>
        <w:spacing w:before="60" w:after="60"/>
      </w:pPr>
      <w:r>
        <w:rPr>
          <w:rFonts w:ascii="Arial" w:cs="Arial" w:eastAsia="Arial" w:hAnsi="Arial"/>
          <w:sz w:val="22"/>
          <w:szCs w:val="22"/>
        </w:rPr>
        <w:t xml:space="preserve">Étape 3 — Prétraitement : Imputation par médiane pour les variables numériques, imputation par mode pour les catégorielles. Encodage One-Hot pour les variables nominales, ordinal encoding pour les variables ordinales. Normalisation MinMax ou StandardScaler selon le modèle.</w:t>
      </w:r>
    </w:p>
    <w:p>
      <w:pPr>
        <w:pStyle w:val="ListParagraph"/>
        <w:numPr>
          <w:ilvl w:val="0"/>
          <w:numId w:val="2"/>
        </w:numPr>
        <w:spacing w:before="60" w:after="60"/>
      </w:pPr>
      <w:r>
        <w:rPr>
          <w:rFonts w:ascii="Arial" w:cs="Arial" w:eastAsia="Arial" w:hAnsi="Arial"/>
          <w:sz w:val="22"/>
          <w:szCs w:val="22"/>
        </w:rPr>
        <w:t xml:space="preserve">Étape 4 — Ingénierie des features : Création de variables dérivées (âge du crédit, ratio LTV — Loan-to-Value, écart taux appliqué / taux directeur). Extraction de features temporelles (mois, trimestre, lag de 3 et 6 mois sur les paiements).</w:t>
      </w:r>
    </w:p>
    <w:p>
      <w:pPr>
        <w:pStyle w:val="ListParagraph"/>
        <w:numPr>
          <w:ilvl w:val="0"/>
          <w:numId w:val="2"/>
        </w:numPr>
        <w:spacing w:before="60" w:after="60"/>
      </w:pPr>
      <w:r>
        <w:rPr>
          <w:rFonts w:ascii="Arial" w:cs="Arial" w:eastAsia="Arial" w:hAnsi="Arial"/>
          <w:sz w:val="22"/>
          <w:szCs w:val="22"/>
        </w:rPr>
        <w:t xml:space="preserve">Étape 5 — Modélisation : Entraînement et validation croisée (k-fold, k=10) de plusieurs modèles. Optimisation des hyperparamètres via GridSearchCV / RandomizedSearchCV.</w:t>
      </w:r>
    </w:p>
    <w:p>
      <w:pPr>
        <w:pStyle w:val="ListParagraph"/>
        <w:numPr>
          <w:ilvl w:val="0"/>
          <w:numId w:val="2"/>
        </w:numPr>
        <w:spacing w:before="60" w:after="60"/>
      </w:pPr>
      <w:r>
        <w:rPr>
          <w:rFonts w:ascii="Arial" w:cs="Arial" w:eastAsia="Arial" w:hAnsi="Arial"/>
          <w:sz w:val="22"/>
          <w:szCs w:val="22"/>
        </w:rPr>
        <w:t xml:space="preserve">Étape 6 — Évaluation et interprétabilité : Comparaison par MAE, RMSE et R². Analyse SHAP pour l'explication des prédictions. Test de stabilité sur sous-groupes.</w:t>
      </w:r>
    </w:p>
    <w:p>
      <w:pPr>
        <w:spacing w:before="200" w:after="0"/>
      </w:pPr>
      <w:r>
        <w:t xml:space="preserve"/>
      </w:r>
    </w:p>
    <w:p>
      <w:pPr>
        <w:pStyle w:val="Heading2"/>
        <w:spacing w:before="280" w:after="160"/>
      </w:pPr>
      <w:r>
        <w:rPr>
          <w:rFonts w:ascii="Arial" w:cs="Arial" w:eastAsia="Arial" w:hAnsi="Arial"/>
          <w:b/>
          <w:bCs/>
          <w:color w:val="2471A3"/>
          <w:sz w:val="24"/>
          <w:szCs w:val="24"/>
        </w:rPr>
        <w:t xml:space="preserve">4.2 Modèles envisagés</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3008"/>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Modèle</w:t>
            </w:r>
          </w:p>
        </w:tc>
        <w:tc>
          <w:tcPr>
            <w:tcW w:type="dxa" w:w="3008"/>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Avantages</w:t>
            </w:r>
          </w:p>
        </w:tc>
        <w:tc>
          <w:tcPr>
            <w:tcW w:type="dxa" w:w="3008"/>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Limites</w:t>
            </w:r>
          </w:p>
        </w:tc>
      </w:tr>
      <w:tr>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Régression linéaire (OLS)</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Interprétabilité maximale, rapidité</w:t>
            </w:r>
          </w:p>
        </w:tc>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Hypothèse de linéarité restrictive</w:t>
            </w:r>
          </w:p>
        </w:tc>
      </w:tr>
      <w:tr>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Ridge / Lasso</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Régularisation, gestion multicolinéarité</w:t>
            </w:r>
          </w:p>
        </w:tc>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Toujours linéaire</w:t>
            </w:r>
          </w:p>
        </w:tc>
      </w:tr>
      <w:tr>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Random Forest Regressor</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Robuste, gère les non-linéarités</w:t>
            </w:r>
          </w:p>
        </w:tc>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Moins interprétable</w:t>
            </w:r>
          </w:p>
        </w:tc>
      </w:tr>
      <w:tr>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XGBoost / LightGBM</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Haute performance, gestion des valeurs manquantes</w:t>
            </w:r>
          </w:p>
        </w:tc>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Risque de surapprentissage</w:t>
            </w:r>
          </w:p>
        </w:tc>
      </w:tr>
      <w:tr>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SVR (Support Vector Regression)</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Efficace en haute dimension</w:t>
            </w:r>
          </w:p>
        </w:tc>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Coût computationnel élevé</w:t>
            </w:r>
          </w:p>
        </w:tc>
      </w:tr>
    </w:tbl>
    <w:p>
      <w:pPr>
        <w:spacing w:before="400" w:after="0"/>
      </w:pPr>
      <w:r>
        <w:t xml:space="preserve"/>
      </w:r>
    </w:p>
    <w:p>
      <w:r>
        <w:br w:type="page"/>
      </w:r>
    </w:p>
    <w:p>
      <w:pPr>
        <w:pStyle w:val="Heading1"/>
        <w:spacing w:before="360" w:after="200"/>
      </w:pPr>
      <w:r>
        <w:rPr>
          <w:rFonts w:ascii="Arial" w:cs="Arial" w:eastAsia="Arial" w:hAnsi="Arial"/>
          <w:b/>
          <w:bCs/>
          <w:color w:val="1A5276"/>
          <w:sz w:val="28"/>
          <w:szCs w:val="28"/>
        </w:rPr>
        <w:t xml:space="preserve">5. Lien avec les Produits Hypothécaires au Maroc</w:t>
      </w:r>
    </w:p>
    <w:p>
      <w:pPr>
        <w:spacing w:before="100" w:after="100" w:line="276"/>
        <w:jc w:val="both"/>
      </w:pPr>
      <w:r>
        <w:rPr>
          <w:rFonts w:ascii="Arial" w:cs="Arial" w:eastAsia="Arial" w:hAnsi="Arial"/>
          <w:b w:val="false"/>
          <w:bCs w:val="false"/>
          <w:color w:val="000000"/>
          <w:sz w:val="22"/>
          <w:szCs w:val="22"/>
        </w:rPr>
        <w:t xml:space="preserve">Ce projet ne se limite pas à un exercice académique : il s'inscrit directement dans les enjeux opérationnels des banques marocaines proposant des produits hypothécaires.</w:t>
      </w:r>
    </w:p>
    <w:p>
      <w:pPr>
        <w:spacing w:before="150" w:after="0"/>
      </w:pPr>
      <w:r>
        <w:t xml:space="preserve"/>
      </w:r>
    </w:p>
    <w:p>
      <w:pPr>
        <w:pStyle w:val="Heading2"/>
        <w:spacing w:before="280" w:after="160"/>
      </w:pPr>
      <w:r>
        <w:rPr>
          <w:rFonts w:ascii="Arial" w:cs="Arial" w:eastAsia="Arial" w:hAnsi="Arial"/>
          <w:b/>
          <w:bCs/>
          <w:color w:val="2471A3"/>
          <w:sz w:val="24"/>
          <w:szCs w:val="24"/>
        </w:rPr>
        <w:t xml:space="preserve">5.1 Panorama du marché hypothécaire marocain</w:t>
      </w:r>
    </w:p>
    <w:p>
      <w:pPr>
        <w:spacing w:before="100" w:after="100" w:line="276"/>
        <w:jc w:val="both"/>
      </w:pPr>
      <w:r>
        <w:rPr>
          <w:rFonts w:ascii="Arial" w:cs="Arial" w:eastAsia="Arial" w:hAnsi="Arial"/>
          <w:b w:val="false"/>
          <w:bCs w:val="false"/>
          <w:color w:val="000000"/>
          <w:sz w:val="22"/>
          <w:szCs w:val="22"/>
        </w:rPr>
        <w:t xml:space="preserve">Le Maroc dispose d'un marché hypothécaire en pleine croissance, structuré autour de plusieurs acteurs clés : les banques commerciales (Attijariwafa Bank, Banque Populaire, BMCE, CIH, etc.), les sociétés de financement et le Fonds de Garantie pour le Logement Social (FOGARIM). Les crédits immobiliers sont régis par les dispositions de Bank Al-Maghrib (circulaire n° 8/G/96 et ses actualisations) et le Code des obligations et contrats (DOC).</w:t>
      </w:r>
    </w:p>
    <w:p>
      <w:pPr>
        <w:spacing w:before="150" w:after="0"/>
      </w:pPr>
      <w:r>
        <w:t xml:space="preserve"/>
      </w:r>
    </w:p>
    <w:p>
      <w:pPr>
        <w:pStyle w:val="Heading2"/>
        <w:spacing w:before="280" w:after="160"/>
      </w:pPr>
      <w:r>
        <w:rPr>
          <w:rFonts w:ascii="Arial" w:cs="Arial" w:eastAsia="Arial" w:hAnsi="Arial"/>
          <w:b/>
          <w:bCs/>
          <w:color w:val="2471A3"/>
          <w:sz w:val="24"/>
          <w:szCs w:val="24"/>
        </w:rPr>
        <w:t xml:space="preserve">5.2 Types de produits concernés</w:t>
      </w:r>
    </w:p>
    <w:p>
      <w:pPr>
        <w:pStyle w:val="ListParagraph"/>
        <w:numPr>
          <w:ilvl w:val="0"/>
          <w:numId w:val="2"/>
        </w:numPr>
        <w:spacing w:before="60" w:after="60"/>
      </w:pPr>
      <w:r>
        <w:rPr>
          <w:rFonts w:ascii="Arial" w:cs="Arial" w:eastAsia="Arial" w:hAnsi="Arial"/>
          <w:sz w:val="22"/>
          <w:szCs w:val="22"/>
        </w:rPr>
        <w:t xml:space="preserve">Crédit immobilier classique : financement de l'acquisition de logements résidentiels avec garantie hypothécaire de premier rang.</w:t>
      </w:r>
    </w:p>
    <w:p>
      <w:pPr>
        <w:pStyle w:val="ListParagraph"/>
        <w:numPr>
          <w:ilvl w:val="0"/>
          <w:numId w:val="2"/>
        </w:numPr>
        <w:spacing w:before="60" w:after="60"/>
      </w:pPr>
      <w:r>
        <w:rPr>
          <w:rFonts w:ascii="Arial" w:cs="Arial" w:eastAsia="Arial" w:hAnsi="Arial"/>
          <w:sz w:val="22"/>
          <w:szCs w:val="22"/>
        </w:rPr>
        <w:t xml:space="preserve">Crédit Miftah : produit dédié aux Marocains Résidant à l'Étranger (MRE), avec des spécificités de devises et de domiciliation.</w:t>
      </w:r>
    </w:p>
    <w:p>
      <w:pPr>
        <w:pStyle w:val="ListParagraph"/>
        <w:numPr>
          <w:ilvl w:val="0"/>
          <w:numId w:val="2"/>
        </w:numPr>
        <w:spacing w:before="60" w:after="60"/>
      </w:pPr>
      <w:r>
        <w:rPr>
          <w:rFonts w:ascii="Arial" w:cs="Arial" w:eastAsia="Arial" w:hAnsi="Arial"/>
          <w:sz w:val="22"/>
          <w:szCs w:val="22"/>
        </w:rPr>
        <w:t xml:space="preserve">Financement participatif Mourabaha : alternative islamique en forte progression, structurée différemment mais générant les mêmes besoins prédictifs.</w:t>
      </w:r>
    </w:p>
    <w:p>
      <w:pPr>
        <w:pStyle w:val="ListParagraph"/>
        <w:numPr>
          <w:ilvl w:val="0"/>
          <w:numId w:val="2"/>
        </w:numPr>
        <w:spacing w:before="60" w:after="60"/>
      </w:pPr>
      <w:r>
        <w:rPr>
          <w:rFonts w:ascii="Arial" w:cs="Arial" w:eastAsia="Arial" w:hAnsi="Arial"/>
          <w:sz w:val="22"/>
          <w:szCs w:val="22"/>
        </w:rPr>
        <w:t xml:space="preserve">Crédit social FOGARIM/FGAR : destiné aux populations à revenus irréguliers, avec des comportements de remboursement distincts.</w:t>
      </w:r>
    </w:p>
    <w:p>
      <w:pPr>
        <w:spacing w:before="150" w:after="0"/>
      </w:pPr>
      <w:r>
        <w:t xml:space="preserve"/>
      </w:r>
    </w:p>
    <w:p>
      <w:pPr>
        <w:pStyle w:val="Heading2"/>
        <w:spacing w:before="280" w:after="160"/>
      </w:pPr>
      <w:r>
        <w:rPr>
          <w:rFonts w:ascii="Arial" w:cs="Arial" w:eastAsia="Arial" w:hAnsi="Arial"/>
          <w:b/>
          <w:bCs/>
          <w:color w:val="2471A3"/>
          <w:sz w:val="24"/>
          <w:szCs w:val="24"/>
        </w:rPr>
        <w:t xml:space="preserve">5.3 Applications concrètes du modèle</w:t>
      </w:r>
    </w:p>
    <w:p>
      <w:pPr>
        <w:spacing w:before="100" w:after="100" w:line="276"/>
        <w:jc w:val="both"/>
      </w:pPr>
      <w:r>
        <w:rPr>
          <w:rFonts w:ascii="Arial" w:cs="Arial" w:eastAsia="Arial" w:hAnsi="Arial"/>
          <w:b w:val="false"/>
          <w:bCs w:val="false"/>
          <w:color w:val="000000"/>
          <w:sz w:val="22"/>
          <w:szCs w:val="22"/>
        </w:rPr>
        <w:t xml:space="preserve">Le modèle développé dans ce projet pourrait être intégré dans plusieurs processus bancaires :</w:t>
      </w:r>
    </w:p>
    <w:p>
      <w:pPr>
        <w:pStyle w:val="ListParagraph"/>
        <w:numPr>
          <w:ilvl w:val="0"/>
          <w:numId w:val="2"/>
        </w:numPr>
        <w:spacing w:before="60" w:after="60"/>
      </w:pPr>
      <w:r>
        <w:rPr>
          <w:rFonts w:ascii="Arial" w:cs="Arial" w:eastAsia="Arial" w:hAnsi="Arial"/>
          <w:sz w:val="22"/>
          <w:szCs w:val="22"/>
        </w:rPr>
        <w:t xml:space="preserve">Tarification ajustée au risque (Risk-Based Pricing) : adapter le taux d'intérêt proposé en fonction de la durée de remboursement prédite.</w:t>
      </w:r>
    </w:p>
    <w:p>
      <w:pPr>
        <w:pStyle w:val="ListParagraph"/>
        <w:numPr>
          <w:ilvl w:val="0"/>
          <w:numId w:val="2"/>
        </w:numPr>
        <w:spacing w:before="60" w:after="60"/>
      </w:pPr>
      <w:r>
        <w:rPr>
          <w:rFonts w:ascii="Arial" w:cs="Arial" w:eastAsia="Arial" w:hAnsi="Arial"/>
          <w:sz w:val="22"/>
          <w:szCs w:val="22"/>
        </w:rPr>
        <w:t xml:space="preserve">Provisionnement dynamique : anticiper les besoins en provisions réglementaires (IFRS 9) selon l'horizon de remboursement.</w:t>
      </w:r>
    </w:p>
    <w:p>
      <w:pPr>
        <w:pStyle w:val="ListParagraph"/>
        <w:numPr>
          <w:ilvl w:val="0"/>
          <w:numId w:val="2"/>
        </w:numPr>
        <w:spacing w:before="60" w:after="60"/>
      </w:pPr>
      <w:r>
        <w:rPr>
          <w:rFonts w:ascii="Arial" w:cs="Arial" w:eastAsia="Arial" w:hAnsi="Arial"/>
          <w:sz w:val="22"/>
          <w:szCs w:val="22"/>
        </w:rPr>
        <w:t xml:space="preserve">Détection précoce de fragilité financière : identifier les emprunteurs susceptibles de prolonger leur durée de crédit et mettre en place un accompagnement préventif.</w:t>
      </w:r>
    </w:p>
    <w:p>
      <w:pPr>
        <w:pStyle w:val="ListParagraph"/>
        <w:numPr>
          <w:ilvl w:val="0"/>
          <w:numId w:val="2"/>
        </w:numPr>
        <w:spacing w:before="60" w:after="60"/>
      </w:pPr>
      <w:r>
        <w:rPr>
          <w:rFonts w:ascii="Arial" w:cs="Arial" w:eastAsia="Arial" w:hAnsi="Arial"/>
          <w:sz w:val="22"/>
          <w:szCs w:val="22"/>
        </w:rPr>
        <w:t xml:space="preserve">Optimisation ALM (Asset-Liability Management) : aligner la durée des ressources avec la durée effective des emplois hypothécaires.</w:t>
      </w:r>
    </w:p>
    <w:p>
      <w:pPr>
        <w:spacing w:before="400" w:after="0"/>
      </w:pPr>
      <w:r>
        <w:t xml:space="preserve"/>
      </w:r>
    </w:p>
    <w:p>
      <w:r>
        <w:br w:type="page"/>
      </w:r>
    </w:p>
    <w:p>
      <w:pPr>
        <w:pStyle w:val="Heading1"/>
        <w:spacing w:before="360" w:after="200"/>
      </w:pPr>
      <w:r>
        <w:rPr>
          <w:rFonts w:ascii="Arial" w:cs="Arial" w:eastAsia="Arial" w:hAnsi="Arial"/>
          <w:b/>
          <w:bCs/>
          <w:color w:val="1A5276"/>
          <w:sz w:val="28"/>
          <w:szCs w:val="28"/>
        </w:rPr>
        <w:t xml:space="preserve">6. Résultats Attendus et Livrables</w:t>
      </w:r>
    </w:p>
    <w:p>
      <w:pPr>
        <w:pStyle w:val="Heading2"/>
        <w:spacing w:before="280" w:after="160"/>
      </w:pPr>
      <w:r>
        <w:rPr>
          <w:rFonts w:ascii="Arial" w:cs="Arial" w:eastAsia="Arial" w:hAnsi="Arial"/>
          <w:b/>
          <w:bCs/>
          <w:color w:val="2471A3"/>
          <w:sz w:val="24"/>
          <w:szCs w:val="24"/>
        </w:rPr>
        <w:t xml:space="preserve">6.1 Performances cibles</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8"/>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Métrique</w:t>
            </w:r>
          </w:p>
        </w:tc>
        <w:tc>
          <w:tcPr>
            <w:tcW w:type="dxa" w:w="3008"/>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Seuil acceptable</w:t>
            </w:r>
          </w:p>
        </w:tc>
        <w:tc>
          <w:tcPr>
            <w:tcW w:type="dxa" w:w="3008"/>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Seuil excellent</w:t>
            </w:r>
          </w:p>
        </w:tc>
      </w:tr>
      <w:tr>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MAE (Mois)</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&lt; 8 mois</w:t>
            </w:r>
          </w:p>
        </w:tc>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&lt; 4 mois</w:t>
            </w:r>
          </w:p>
        </w:tc>
      </w:tr>
      <w:tr>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RMSE (Mois)</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&lt; 12 mois</w:t>
            </w:r>
          </w:p>
        </w:tc>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&lt; 7 mois</w:t>
            </w:r>
          </w:p>
        </w:tc>
      </w:tr>
      <w:tr>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R² (Coefficient)</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&gt; 0.65</w:t>
            </w:r>
          </w:p>
        </w:tc>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&gt; 0.82</w:t>
            </w:r>
          </w:p>
        </w:tc>
      </w:tr>
      <w:tr>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MAPE (%)</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&lt; 15 %</w:t>
            </w:r>
          </w:p>
        </w:tc>
        <w:tc>
          <w:tcPr>
            <w:tcW w:type="dxa" w:w="3008"/>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&lt; 8 %</w:t>
            </w:r>
          </w:p>
        </w:tc>
      </w:tr>
    </w:tbl>
    <w:p>
      <w:pPr>
        <w:spacing w:before="200" w:after="0"/>
      </w:pPr>
      <w:r>
        <w:t xml:space="preserve"/>
      </w:r>
    </w:p>
    <w:p>
      <w:pPr>
        <w:pStyle w:val="Heading2"/>
        <w:spacing w:before="280" w:after="160"/>
      </w:pPr>
      <w:r>
        <w:rPr>
          <w:rFonts w:ascii="Arial" w:cs="Arial" w:eastAsia="Arial" w:hAnsi="Arial"/>
          <w:b/>
          <w:bCs/>
          <w:color w:val="2471A3"/>
          <w:sz w:val="24"/>
          <w:szCs w:val="24"/>
        </w:rPr>
        <w:t xml:space="preserve">6.2 Livrables du projet</w:t>
      </w:r>
    </w:p>
    <w:p>
      <w:pPr>
        <w:pStyle w:val="ListParagraph"/>
        <w:numPr>
          <w:ilvl w:val="0"/>
          <w:numId w:val="2"/>
        </w:numPr>
        <w:spacing w:before="60" w:after="60"/>
      </w:pPr>
      <w:r>
        <w:rPr>
          <w:rFonts w:ascii="Arial" w:cs="Arial" w:eastAsia="Arial" w:hAnsi="Arial"/>
          <w:sz w:val="22"/>
          <w:szCs w:val="22"/>
        </w:rPr>
        <w:t xml:space="preserve">Notebook Jupyter documenté couvrant l'intégralité du pipeline (EDA, prétraitement, modélisation, évaluation).</w:t>
      </w:r>
    </w:p>
    <w:p>
      <w:pPr>
        <w:pStyle w:val="ListParagraph"/>
        <w:numPr>
          <w:ilvl w:val="0"/>
          <w:numId w:val="2"/>
        </w:numPr>
        <w:spacing w:before="60" w:after="60"/>
      </w:pPr>
      <w:r>
        <w:rPr>
          <w:rFonts w:ascii="Arial" w:cs="Arial" w:eastAsia="Arial" w:hAnsi="Arial"/>
          <w:sz w:val="22"/>
          <w:szCs w:val="22"/>
        </w:rPr>
        <w:t xml:space="preserve">Rapport d'analyse exploratoire (EDA Report) avec visualisations annotées.</w:t>
      </w:r>
    </w:p>
    <w:p>
      <w:pPr>
        <w:pStyle w:val="ListParagraph"/>
        <w:numPr>
          <w:ilvl w:val="0"/>
          <w:numId w:val="2"/>
        </w:numPr>
        <w:spacing w:before="60" w:after="60"/>
      </w:pPr>
      <w:r>
        <w:rPr>
          <w:rFonts w:ascii="Arial" w:cs="Arial" w:eastAsia="Arial" w:hAnsi="Arial"/>
          <w:sz w:val="22"/>
          <w:szCs w:val="22"/>
        </w:rPr>
        <w:t xml:space="preserve">Modèle entraîné et sauvegardé (format Pickle / ONNX) prêt au déploiement.</w:t>
      </w:r>
    </w:p>
    <w:p>
      <w:pPr>
        <w:pStyle w:val="ListParagraph"/>
        <w:numPr>
          <w:ilvl w:val="0"/>
          <w:numId w:val="2"/>
        </w:numPr>
        <w:spacing w:before="60" w:after="60"/>
      </w:pPr>
      <w:r>
        <w:rPr>
          <w:rFonts w:ascii="Arial" w:cs="Arial" w:eastAsia="Arial" w:hAnsi="Arial"/>
          <w:sz w:val="22"/>
          <w:szCs w:val="22"/>
        </w:rPr>
        <w:t xml:space="preserve">Dashboard interactif (Streamlit ou Dash) permettant de simuler des prédictions en temps réel.</w:t>
      </w:r>
    </w:p>
    <w:p>
      <w:pPr>
        <w:pStyle w:val="ListParagraph"/>
        <w:numPr>
          <w:ilvl w:val="0"/>
          <w:numId w:val="2"/>
        </w:numPr>
        <w:spacing w:before="60" w:after="60"/>
      </w:pPr>
      <w:r>
        <w:rPr>
          <w:rFonts w:ascii="Arial" w:cs="Arial" w:eastAsia="Arial" w:hAnsi="Arial"/>
          <w:sz w:val="22"/>
          <w:szCs w:val="22"/>
        </w:rPr>
        <w:t xml:space="preserve">Présentation PowerPoint de 15 à 20 diapositives destinée à un public mixte (technique et métier).</w:t>
      </w:r>
    </w:p>
    <w:p>
      <w:pPr>
        <w:pStyle w:val="ListParagraph"/>
        <w:numPr>
          <w:ilvl w:val="0"/>
          <w:numId w:val="2"/>
        </w:numPr>
        <w:spacing w:before="60" w:after="60"/>
      </w:pPr>
      <w:r>
        <w:rPr>
          <w:rFonts w:ascii="Arial" w:cs="Arial" w:eastAsia="Arial" w:hAnsi="Arial"/>
          <w:sz w:val="22"/>
          <w:szCs w:val="22"/>
        </w:rPr>
        <w:t xml:space="preserve">Rapport final de 25 pages (le présent document) avec méthodologie, résultats et recommandations.</w:t>
      </w:r>
    </w:p>
    <w:p>
      <w:pPr>
        <w:spacing w:before="400" w:after="0"/>
      </w:pPr>
      <w:r>
        <w:t xml:space="preserve"/>
      </w:r>
    </w:p>
    <w:p>
      <w:r>
        <w:br w:type="page"/>
      </w:r>
    </w:p>
    <w:p>
      <w:pPr>
        <w:pStyle w:val="Heading1"/>
        <w:spacing w:before="360" w:after="200"/>
      </w:pPr>
      <w:r>
        <w:rPr>
          <w:rFonts w:ascii="Arial" w:cs="Arial" w:eastAsia="Arial" w:hAnsi="Arial"/>
          <w:b/>
          <w:bCs/>
          <w:color w:val="1A5276"/>
          <w:sz w:val="28"/>
          <w:szCs w:val="28"/>
        </w:rPr>
        <w:t xml:space="preserve">7. Considérations Éthiques et Réglementaires</w:t>
      </w:r>
    </w:p>
    <w:p>
      <w:pPr>
        <w:spacing w:before="100" w:after="100" w:line="276"/>
        <w:jc w:val="both"/>
      </w:pPr>
      <w:r>
        <w:rPr>
          <w:rFonts w:ascii="Arial" w:cs="Arial" w:eastAsia="Arial" w:hAnsi="Arial"/>
          <w:b w:val="false"/>
          <w:bCs w:val="false"/>
          <w:color w:val="000000"/>
          <w:sz w:val="22"/>
          <w:szCs w:val="22"/>
        </w:rPr>
        <w:t xml:space="preserve">Le développement d'un modèle de scoring dans le domaine bancaire soulève des questions éthiques fondamentales qui ne peuvent être ignorées dans une démarche scientifique responsable.</w:t>
      </w:r>
    </w:p>
    <w:p>
      <w:pPr>
        <w:spacing w:before="150" w:after="0"/>
      </w:pPr>
      <w:r>
        <w:t xml:space="preserve"/>
      </w:r>
    </w:p>
    <w:p>
      <w:pPr>
        <w:pStyle w:val="Heading2"/>
        <w:spacing w:before="280" w:after="160"/>
      </w:pPr>
      <w:r>
        <w:rPr>
          <w:rFonts w:ascii="Arial" w:cs="Arial" w:eastAsia="Arial" w:hAnsi="Arial"/>
          <w:b/>
          <w:bCs/>
          <w:color w:val="2471A3"/>
          <w:sz w:val="24"/>
          <w:szCs w:val="24"/>
        </w:rPr>
        <w:t xml:space="preserve">7.1 Biais algorithmiques</w:t>
      </w:r>
    </w:p>
    <w:p>
      <w:pPr>
        <w:spacing w:before="100" w:after="100" w:line="276"/>
        <w:jc w:val="both"/>
      </w:pPr>
      <w:r>
        <w:rPr>
          <w:rFonts w:ascii="Arial" w:cs="Arial" w:eastAsia="Arial" w:hAnsi="Arial"/>
          <w:b w:val="false"/>
          <w:bCs w:val="false"/>
          <w:color w:val="000000"/>
          <w:sz w:val="22"/>
          <w:szCs w:val="22"/>
        </w:rPr>
        <w:t xml:space="preserve">Les données historiques de crédit peuvent refléter des biais sociaux préexistants (discrimination de genre, d'origine géographique, etc.). Une attention particulière sera portée à l'équité algorithmique (fairness) via l'analyse différentielle des performances du modèle sur des sous-groupes démographiques. Des métriques d'équité comme la parité démographique et l'égalité des chances seront calculées.</w:t>
      </w:r>
    </w:p>
    <w:p>
      <w:pPr>
        <w:spacing w:before="150" w:after="0"/>
      </w:pPr>
      <w:r>
        <w:t xml:space="preserve"/>
      </w:r>
    </w:p>
    <w:p>
      <w:pPr>
        <w:pStyle w:val="Heading2"/>
        <w:spacing w:before="280" w:after="160"/>
      </w:pPr>
      <w:r>
        <w:rPr>
          <w:rFonts w:ascii="Arial" w:cs="Arial" w:eastAsia="Arial" w:hAnsi="Arial"/>
          <w:b/>
          <w:bCs/>
          <w:color w:val="2471A3"/>
          <w:sz w:val="24"/>
          <w:szCs w:val="24"/>
        </w:rPr>
        <w:t xml:space="preserve">7.2 Conformité réglementaire</w:t>
      </w:r>
    </w:p>
    <w:p>
      <w:pPr>
        <w:pStyle w:val="ListParagraph"/>
        <w:numPr>
          <w:ilvl w:val="0"/>
          <w:numId w:val="2"/>
        </w:numPr>
        <w:spacing w:before="60" w:after="60"/>
      </w:pPr>
      <w:r>
        <w:rPr>
          <w:rFonts w:ascii="Arial" w:cs="Arial" w:eastAsia="Arial" w:hAnsi="Arial"/>
          <w:sz w:val="22"/>
          <w:szCs w:val="22"/>
        </w:rPr>
        <w:t xml:space="preserve">Loi n° 09-08 relative à la protection des personnes physiques à l'égard du traitement des données à caractère personnel (Maroc).</w:t>
      </w:r>
    </w:p>
    <w:p>
      <w:pPr>
        <w:pStyle w:val="ListParagraph"/>
        <w:numPr>
          <w:ilvl w:val="0"/>
          <w:numId w:val="2"/>
        </w:numPr>
        <w:spacing w:before="60" w:after="60"/>
      </w:pPr>
      <w:r>
        <w:rPr>
          <w:rFonts w:ascii="Arial" w:cs="Arial" w:eastAsia="Arial" w:hAnsi="Arial"/>
          <w:sz w:val="22"/>
          <w:szCs w:val="22"/>
        </w:rPr>
        <w:t xml:space="preserve">Directives de Bank Al-Maghrib sur l'utilisation des modèles statistiques dans l'évaluation du risque de crédit.</w:t>
      </w:r>
    </w:p>
    <w:p>
      <w:pPr>
        <w:pStyle w:val="ListParagraph"/>
        <w:numPr>
          <w:ilvl w:val="0"/>
          <w:numId w:val="2"/>
        </w:numPr>
        <w:spacing w:before="60" w:after="60"/>
      </w:pPr>
      <w:r>
        <w:rPr>
          <w:rFonts w:ascii="Arial" w:cs="Arial" w:eastAsia="Arial" w:hAnsi="Arial"/>
          <w:sz w:val="22"/>
          <w:szCs w:val="22"/>
        </w:rPr>
        <w:t xml:space="preserve">Principes IFRS 9 sur la classification et l'évaluation des instruments financiers.</w:t>
      </w:r>
    </w:p>
    <w:p>
      <w:pPr>
        <w:pStyle w:val="ListParagraph"/>
        <w:numPr>
          <w:ilvl w:val="0"/>
          <w:numId w:val="2"/>
        </w:numPr>
        <w:spacing w:before="60" w:after="60"/>
      </w:pPr>
      <w:r>
        <w:rPr>
          <w:rFonts w:ascii="Arial" w:cs="Arial" w:eastAsia="Arial" w:hAnsi="Arial"/>
          <w:sz w:val="22"/>
          <w:szCs w:val="22"/>
        </w:rPr>
        <w:t xml:space="preserve">Exigences Bâle III / Bâle IV concernant les modèles internes de notation (IRB — Internal Ratings-Based Approach).</w:t>
      </w:r>
    </w:p>
    <w:p>
      <w:pPr>
        <w:spacing w:before="150" w:after="0"/>
      </w:pPr>
      <w:r>
        <w:t xml:space="preserve"/>
      </w:r>
    </w:p>
    <w:p>
      <w:pPr>
        <w:pStyle w:val="Heading2"/>
        <w:spacing w:before="280" w:after="160"/>
      </w:pPr>
      <w:r>
        <w:rPr>
          <w:rFonts w:ascii="Arial" w:cs="Arial" w:eastAsia="Arial" w:hAnsi="Arial"/>
          <w:b/>
          <w:bCs/>
          <w:color w:val="2471A3"/>
          <w:sz w:val="24"/>
          <w:szCs w:val="24"/>
        </w:rPr>
        <w:t xml:space="preserve">7.3 Explicabilité du modèle</w:t>
      </w:r>
    </w:p>
    <w:p>
      <w:pPr>
        <w:spacing w:before="100" w:after="100" w:line="276"/>
        <w:jc w:val="both"/>
      </w:pPr>
      <w:r>
        <w:rPr>
          <w:rFonts w:ascii="Arial" w:cs="Arial" w:eastAsia="Arial" w:hAnsi="Arial"/>
          <w:b w:val="false"/>
          <w:bCs w:val="false"/>
          <w:color w:val="000000"/>
          <w:sz w:val="22"/>
          <w:szCs w:val="22"/>
        </w:rPr>
        <w:t xml:space="preserve">Dans un contexte réglementaire exigeant la transparence des décisions de crédit (droit à l'explication), le modèle final intégrera une couche d'interprétabilité basée sur les valeurs SHAP (SHapley Additive exPlanations). Cela permettra de fournir aux conseillers bancaires une justification compréhensible de chaque prédiction, renforçant la confiance des parties prenantes et la conformité aux exigences réglementaires.</w:t>
      </w:r>
    </w:p>
    <w:p>
      <w:pPr>
        <w:spacing w:before="400" w:after="0"/>
      </w:pPr>
      <w:r>
        <w:t xml:space="preserve"/>
      </w:r>
    </w:p>
    <w:p>
      <w:r>
        <w:br w:type="page"/>
      </w:r>
    </w:p>
    <w:p>
      <w:pPr>
        <w:pStyle w:val="Heading1"/>
        <w:spacing w:before="360" w:after="200"/>
      </w:pPr>
      <w:r>
        <w:rPr>
          <w:rFonts w:ascii="Arial" w:cs="Arial" w:eastAsia="Arial" w:hAnsi="Arial"/>
          <w:b/>
          <w:bCs/>
          <w:color w:val="1A5276"/>
          <w:sz w:val="28"/>
          <w:szCs w:val="28"/>
        </w:rPr>
        <w:t xml:space="preserve">8. Plan de Travail et Calendrier</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826"/>
        <w:gridCol w:w="2000"/>
        <w:gridCol w:w="2500"/>
      </w:tblGrid>
      <w:tr>
        <w:tc>
          <w:tcPr>
            <w:tcW w:type="dxa" w:w="2256"/>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Phase</w:t>
            </w:r>
          </w:p>
        </w:tc>
        <w:tc>
          <w:tcPr>
            <w:tcW w:type="dxa" w:w="2256"/>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Activités</w:t>
            </w:r>
          </w:p>
        </w:tc>
        <w:tc>
          <w:tcPr>
            <w:tcW w:type="dxa" w:w="2256"/>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Durée</w:t>
            </w:r>
          </w:p>
        </w:tc>
        <w:tc>
          <w:tcPr>
            <w:tcW w:type="dxa" w:w="2256"/>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Responsable</w:t>
            </w:r>
          </w:p>
        </w:tc>
      </w:tr>
      <w:tr>
        <w:tc>
          <w:tcPr>
            <w:tcW w:type="dxa" w:w="225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1</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Collecte, fusion et exploration des données (EDA)</w:t>
            </w:r>
          </w:p>
        </w:tc>
        <w:tc>
          <w:tcPr>
            <w:tcW w:type="dxa" w:w="225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2 semaines</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Équipe Data</w:t>
            </w:r>
          </w:p>
        </w:tc>
      </w:tr>
      <w:tr>
        <w:tc>
          <w:tcPr>
            <w:tcW w:type="dxa" w:w="225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2</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Prétraitement et ingénierie des features</w:t>
            </w:r>
          </w:p>
        </w:tc>
        <w:tc>
          <w:tcPr>
            <w:tcW w:type="dxa" w:w="225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1,5 semaines</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Équipe Data</w:t>
            </w:r>
          </w:p>
        </w:tc>
      </w:tr>
      <w:tr>
        <w:tc>
          <w:tcPr>
            <w:tcW w:type="dxa" w:w="225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3</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Développement et comparaison des modèles</w:t>
            </w:r>
          </w:p>
        </w:tc>
        <w:tc>
          <w:tcPr>
            <w:tcW w:type="dxa" w:w="225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2 semaines</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Data Scientist</w:t>
            </w:r>
          </w:p>
        </w:tc>
      </w:tr>
      <w:tr>
        <w:tc>
          <w:tcPr>
            <w:tcW w:type="dxa" w:w="225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4</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Optimisation des hyperparamètres et validation</w:t>
            </w:r>
          </w:p>
        </w:tc>
        <w:tc>
          <w:tcPr>
            <w:tcW w:type="dxa" w:w="225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1 semaine</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Data Scientist</w:t>
            </w:r>
          </w:p>
        </w:tc>
      </w:tr>
      <w:tr>
        <w:tc>
          <w:tcPr>
            <w:tcW w:type="dxa" w:w="225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5</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Analyse SHAP et interprétabilité</w:t>
            </w:r>
          </w:p>
        </w:tc>
        <w:tc>
          <w:tcPr>
            <w:tcW w:type="dxa" w:w="225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1 semaine</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Équipe complète</w:t>
            </w:r>
          </w:p>
        </w:tc>
      </w:tr>
      <w:tr>
        <w:tc>
          <w:tcPr>
            <w:tcW w:type="dxa" w:w="225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6</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Développement du dashboard et des livrables</w:t>
            </w:r>
          </w:p>
        </w:tc>
        <w:tc>
          <w:tcPr>
            <w:tcW w:type="dxa" w:w="225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1,5 semaines</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Équipe complète</w:t>
            </w:r>
          </w:p>
        </w:tc>
      </w:tr>
      <w:tr>
        <w:tc>
          <w:tcPr>
            <w:tcW w:type="dxa" w:w="225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7</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Rédaction du rapport et préparation de la soutenance</w:t>
            </w:r>
          </w:p>
        </w:tc>
        <w:tc>
          <w:tcPr>
            <w:tcW w:type="dxa" w:w="225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1 semaine</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Équipe complète</w:t>
            </w:r>
          </w:p>
        </w:tc>
      </w:tr>
      <w:tr>
        <w:tc>
          <w:tcPr>
            <w:tcW w:type="dxa" w:w="225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Total</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w:t>
            </w:r>
          </w:p>
        </w:tc>
        <w:tc>
          <w:tcPr>
            <w:tcW w:type="dxa" w:w="225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10 semaines</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w:t>
            </w:r>
          </w:p>
        </w:tc>
      </w:tr>
    </w:tbl>
    <w:p>
      <w:pPr>
        <w:spacing w:before="400" w:after="0"/>
      </w:pPr>
      <w:r>
        <w:t xml:space="preserve"/>
      </w:r>
    </w:p>
    <w:p>
      <w:r>
        <w:br w:type="page"/>
      </w:r>
    </w:p>
    <w:p>
      <w:pPr>
        <w:pStyle w:val="Heading1"/>
        <w:spacing w:before="360" w:after="200"/>
      </w:pPr>
      <w:r>
        <w:rPr>
          <w:rFonts w:ascii="Arial" w:cs="Arial" w:eastAsia="Arial" w:hAnsi="Arial"/>
          <w:b/>
          <w:bCs/>
          <w:color w:val="1A5276"/>
          <w:sz w:val="28"/>
          <w:szCs w:val="28"/>
        </w:rPr>
        <w:t xml:space="preserve">9. Conclusion et Perspectives</w:t>
      </w:r>
    </w:p>
    <w:p>
      <w:pPr>
        <w:spacing w:before="100" w:after="100" w:line="276"/>
        <w:jc w:val="both"/>
      </w:pPr>
      <w:r>
        <w:rPr>
          <w:rFonts w:ascii="Arial" w:cs="Arial" w:eastAsia="Arial" w:hAnsi="Arial"/>
          <w:b w:val="false"/>
          <w:bCs w:val="false"/>
          <w:color w:val="000000"/>
          <w:sz w:val="22"/>
          <w:szCs w:val="22"/>
        </w:rPr>
        <w:t xml:space="preserve">Ce projet de prédiction de la durée de remboursement d'un crédit immobilier représente une contribution significative à l'intersection de la data science et de la finance bancaire marocaine. En combinant des données simulées ancrées dans le contexte de Bank Al-Maghrib et des données réelles issues de Kaggle, il offre un terrain d'expérimentation riche et représentatif.</w:t>
      </w:r>
    </w:p>
    <w:p>
      <w:pPr>
        <w:spacing w:before="150" w:after="0"/>
      </w:pPr>
      <w:r>
        <w:t xml:space="preserve"/>
      </w:r>
    </w:p>
    <w:p>
      <w:pPr>
        <w:spacing w:before="100" w:after="100" w:line="276"/>
        <w:jc w:val="both"/>
      </w:pPr>
      <w:r>
        <w:rPr>
          <w:rFonts w:ascii="Arial" w:cs="Arial" w:eastAsia="Arial" w:hAnsi="Arial"/>
          <w:b w:val="false"/>
          <w:bCs w:val="false"/>
          <w:color w:val="000000"/>
          <w:sz w:val="22"/>
          <w:szCs w:val="22"/>
        </w:rPr>
        <w:t xml:space="preserve">Sur le plan pédagogique, ce projet permet aux apprenants de maîtriser un spectre complet de compétences : de la manipulation de données financières temporelles à l'interprétation de modèles complexes, en passant par la compréhension des enjeux réglementaires et éthiques du scoring bancaire. Ces compétences sont directement valorisables dans les équipes de risque, d'actuariat et d'innovation des établissements financiers marocains.</w:t>
      </w:r>
    </w:p>
    <w:p>
      <w:pPr>
        <w:spacing w:before="150" w:after="0"/>
      </w:pPr>
      <w:r>
        <w:t xml:space="preserve"/>
      </w:r>
    </w:p>
    <w:p>
      <w:pPr>
        <w:spacing w:before="100" w:after="100" w:line="276"/>
        <w:jc w:val="both"/>
      </w:pPr>
      <w:r>
        <w:rPr>
          <w:rFonts w:ascii="Arial" w:cs="Arial" w:eastAsia="Arial" w:hAnsi="Arial"/>
          <w:b w:val="false"/>
          <w:bCs w:val="false"/>
          <w:color w:val="000000"/>
          <w:sz w:val="22"/>
          <w:szCs w:val="22"/>
        </w:rPr>
        <w:t xml:space="preserve">Sur le plan scientifique, les résultats de ce projet pourront être utilisés comme référence pour de futurs travaux sur la modélisation du risque de crédit au Maroc. Des extensions naturelles incluent la modélisation de la probabilité de défaut (PD), du taux de recouvrement (LGD) et de l'exposition au moment du défaut (EAD), constituant ainsi un cadre complet de gestion quantitative du risque de crédit conforme aux standards Bâle III.</w:t>
      </w:r>
    </w:p>
    <w:p>
      <w:pPr>
        <w:spacing w:before="150" w:after="0"/>
      </w:pPr>
      <w:r>
        <w:t xml:space="preserve"/>
      </w:r>
    </w:p>
    <w:p>
      <w:pPr>
        <w:spacing w:before="100" w:after="100" w:line="276"/>
        <w:jc w:val="both"/>
      </w:pPr>
      <w:r>
        <w:rPr>
          <w:rFonts w:ascii="Arial" w:cs="Arial" w:eastAsia="Arial" w:hAnsi="Arial"/>
          <w:b w:val="false"/>
          <w:bCs w:val="false"/>
          <w:color w:val="000000"/>
          <w:sz w:val="22"/>
          <w:szCs w:val="22"/>
        </w:rPr>
        <w:t xml:space="preserve">Enfin, la démarche adoptée — alliant rigueur méthodologique, conscience éthique et ancrage sectoriel — illustre ce que devrait être la data science responsable au service du développement économique du Maroc.</w:t>
      </w:r>
    </w:p>
    <w:p>
      <w:pPr>
        <w:spacing w:before="300" w:after="0"/>
      </w:pPr>
      <w:r>
        <w:t xml:space="preserve"/>
      </w:r>
    </w:p>
    <w:p>
      <w:pPr>
        <w:pBdr>
          <w:top w:val="single" w:color="1A5276" w:sz="6" w:space="4"/>
        </w:pBdr>
        <w:spacing w:before="400" w:after="100"/>
        <w:jc w:val="center"/>
      </w:pPr>
      <w:r>
        <w:rPr>
          <w:rFonts w:ascii="Arial" w:cs="Arial" w:eastAsia="Arial" w:hAnsi="Arial"/>
          <w:b/>
          <w:bCs/>
          <w:color w:val="1A5276"/>
          <w:sz w:val="22"/>
          <w:szCs w:val="22"/>
        </w:rPr>
        <w:t xml:space="preserve">— Fin du Compte Rendu —</w:t>
      </w:r>
    </w:p>
    <w:p>
      <w:pPr>
        <w:spacing w:before="80" w:after="0"/>
        <w:jc w:val="center"/>
      </w:pPr>
      <w:r>
        <w:rPr>
          <w:rFonts w:ascii="Arial" w:cs="Arial" w:eastAsia="Arial" w:hAnsi="Arial"/>
          <w:color w:val="999999"/>
          <w:sz w:val="18"/>
          <w:szCs w:val="18"/>
        </w:rPr>
        <w:t xml:space="preserve">Crédit Bancaire &amp; Scoring  |  Prédiction de Durée de Remboursement</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6" w:space="1"/>
      </w:pBdr>
      <w:tabs>
        <w:tab w:val="right" w:pos="9026"/>
      </w:tabs>
      <w:spacing w:before="120"/>
    </w:pPr>
    <w:r>
      <w:rPr>
        <w:rFonts w:ascii="Arial" w:cs="Arial" w:eastAsia="Arial" w:hAnsi="Arial"/>
        <w:color w:val="666666"/>
        <w:sz w:val="18"/>
        <w:szCs w:val="18"/>
      </w:rPr>
      <w:t xml:space="preserve">Institut  |  Analyse de Données Financières</w:t>
    </w:r>
    <w:r>
      <w:rPr>
        <w:rFonts w:ascii="Arial" w:cs="Arial" w:eastAsia="Arial" w:hAnsi="Arial"/>
        <w:color w:val="666666"/>
        <w:sz w:val="18"/>
        <w:szCs w:val="18"/>
      </w:rPr>
      <w:t xml:space="preserve">	Page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spacing w:after="120"/>
    </w:pPr>
    <w:r>
      <w:rPr>
        <w:rFonts w:ascii="Arial" w:cs="Arial" w:eastAsia="Arial" w:hAnsi="Arial"/>
        <w:b/>
        <w:bCs/>
        <w:color w:val="1A5276"/>
        <w:sz w:val="18"/>
        <w:szCs w:val="18"/>
      </w:rPr>
      <w:t xml:space="preserve">Compte Rendu de Projet  |  Crédit Bancaire &amp; Scoring</w:t>
    </w:r>
    <w:r>
      <w:rPr>
        <w:rFonts w:ascii="Arial" w:cs="Arial" w:eastAsia="Arial" w:hAnsi="Arial"/>
        <w:color w:val="999999"/>
        <w:sz w:val="18"/>
        <w:szCs w:val="18"/>
      </w:rPr>
      <w:t xml:space="preserve">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471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2026-03-26T14:29:03.586Z</dcterms:created>
  <dcterms:modified xsi:type="dcterms:W3CDTF">2026-03-26T14:29:03.586Z</dcterms:modified>
</cp:coreProperties>
</file>

<file path=docProps/custom.xml><?xml version="1.0" encoding="utf-8"?>
<Properties xmlns="http://schemas.openxmlformats.org/officeDocument/2006/custom-properties" xmlns:vt="http://schemas.openxmlformats.org/officeDocument/2006/docPropsVTypes"/>
</file>