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0"/>
              <w:left w:type="dxa" w:w="600"/>
              <w:bottom w:type="dxa" w:w="800"/>
              <w:right w:type="dxa" w:w="600"/>
            </w:tcMar>
          </w:tcPr>
          <w:p>
            <w:pPr>
              <w:spacing w:after="120"/>
              <w:jc w:val="center"/>
            </w:pPr>
            <w:r>
              <w:rPr>
                <w:rFonts w:ascii="Arial" w:cs="Arial" w:eastAsia="Arial" w:hAnsi="Arial"/>
                <w:b/>
                <w:bCs/>
                <w:color w:val="FFFFFF"/>
                <w:sz w:val="56"/>
                <w:szCs w:val="56"/>
              </w:rPr>
              <w:t xml:space="preserve">AI MEMORY BRAIN</w:t>
            </w:r>
          </w:p>
          <w:p>
            <w:pPr>
              <w:spacing w:after="240"/>
              <w:jc w:val="center"/>
            </w:pPr>
            <w:r>
              <w:rPr>
                <w:rFonts w:ascii="Arial" w:cs="Arial" w:eastAsia="Arial" w:hAnsi="Arial"/>
                <w:b/>
                <w:bCs/>
                <w:color w:val="B8860B"/>
                <w:sz w:val="36"/>
                <w:szCs w:val="36"/>
              </w:rPr>
              <w:t xml:space="preserve">Go-to-Market Strategy</w:t>
            </w:r>
          </w:p>
          <w:p>
            <w:pPr>
              <w:pBdr>
                <w:top w:val="single" w:color="B8860B" w:sz="4" w:space="8"/>
                <w:bottom w:val="single" w:color="B8860B" w:sz="4" w:space="8"/>
              </w:pBdr>
              <w:spacing w:after="200" w:before="200"/>
              <w:jc w:val="center"/>
            </w:pPr>
            <w:r>
              <w:rPr>
                <w:rFonts w:ascii="Arial" w:cs="Arial" w:eastAsia="Arial" w:hAnsi="Arial"/>
                <w:i/>
                <w:iCs/>
                <w:color w:val="C5D9EF"/>
                <w:sz w:val="22"/>
                <w:szCs w:val="22"/>
              </w:rPr>
              <w:t xml:space="preserve">Persistent AI Context Architecture  —  Sales, Marketing &amp; Growth Playbook</w:t>
            </w:r>
          </w:p>
          <w:p>
            <w:pPr>
              <w:spacing w:before="240"/>
              <w:jc w:val="center"/>
            </w:pPr>
            <w:r>
              <w:rPr>
                <w:rFonts w:ascii="Arial" w:cs="Arial" w:eastAsia="Arial" w:hAnsi="Arial"/>
                <w:color w:val="A0AABB"/>
                <w:sz w:val="20"/>
                <w:szCs w:val="20"/>
              </w:rPr>
              <w:t xml:space="preserve">Provecta Group  |  Hassan Qaseem  |  April 2026</w:t>
            </w:r>
          </w:p>
          <w:p>
            <w:pPr>
              <w:jc w:val="center"/>
            </w:pPr>
            <w:r>
              <w:rPr>
                <w:rFonts w:ascii="Arial" w:cs="Arial" w:eastAsia="Arial" w:hAnsi="Arial"/>
                <w:b/>
                <w:bCs/>
                <w:color w:val="B8860B"/>
                <w:sz w:val="20"/>
                <w:szCs w:val="20"/>
              </w:rPr>
              <w:t xml:space="preserve">CONFIDENTIAL</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none" w:color="FFFFFF" w:sz="0"/>
              <w:bottom w:val="single" w:color="B8860B" w:sz="6"/>
              <w:right w:val="none" w:color="FFFFFF" w:sz="0"/>
            </w:tcBorders>
            <w:shd w:fill="EBF2FA" w:val="clear"/>
            <w:tcMar>
              <w:top w:type="dxa" w:w="200"/>
              <w:left w:type="dxa" w:w="300"/>
              <w:bottom w:type="dxa" w:w="200"/>
              <w:right w:type="dxa" w:w="300"/>
            </w:tcMar>
          </w:tcPr>
          <w:p>
            <w:pPr>
              <w:spacing w:after="100"/>
            </w:pPr>
            <w:r>
              <w:rPr>
                <w:rFonts w:ascii="Arial" w:cs="Arial" w:eastAsia="Arial" w:hAnsi="Arial"/>
                <w:b/>
                <w:bCs/>
                <w:color w:val="1B3A6B"/>
                <w:sz w:val="22"/>
                <w:szCs w:val="22"/>
              </w:rPr>
              <w:t xml:space="preserve">EXECUTIVE SUMMARY</w:t>
            </w:r>
          </w:p>
          <w:p>
            <w:pPr>
              <w:spacing w:after="80"/>
            </w:pPr>
            <w:r>
              <w:rPr>
                <w:rFonts w:ascii="Arial" w:cs="Arial" w:eastAsia="Arial" w:hAnsi="Arial"/>
                <w:color w:val="2C2C2C"/>
                <w:sz w:val="20"/>
                <w:szCs w:val="20"/>
              </w:rPr>
              <w:t xml:space="preserve">AI Memory Brain is a persistent memory architecture for AI assistants. It solves a universal problem: every AI session starts from zero, losing all accumulated project knowledge. AI Memory Brain structures that knowledge into a three-tier, lazy-loading, git-backed system that any AI model can load in seconds.</w:t>
            </w:r>
          </w:p>
          <w:p>
            <w:r>
              <w:rPr>
                <w:rFonts w:ascii="Arial" w:cs="Arial" w:eastAsia="Arial" w:hAnsi="Arial"/>
                <w:color w:val="2C2C2C"/>
                <w:sz w:val="20"/>
                <w:szCs w:val="20"/>
              </w:rPr>
              <w:t xml:space="preserve">This GTM plan targets three segments — AI/Tech Teams, Business Owners/SMBs, and Enterprises — with differentiated positioning, pricing, sales motion, and channel strategy for each. The plan recommends a beachhead entry through AI/Tech Teams, followed by SMB expansion and Enterprise engagement, with a 90-day launch sequence.</w:t>
            </w:r>
          </w:p>
        </w:tc>
      </w:tr>
    </w:tbl>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1. Product Overview &amp; Core Value Proposition</w:t>
      </w:r>
    </w:p>
    <w:p>
      <w:pPr>
        <w:spacing w:after="120"/>
      </w:pPr>
      <w:r>
        <w:rPr>
          <w:rFonts w:ascii="Arial" w:cs="Arial" w:eastAsia="Arial" w:hAnsi="Arial"/>
          <w:b w:val="false"/>
          <w:bCs w:val="false"/>
          <w:i w:val="false"/>
          <w:iCs w:val="false"/>
          <w:color w:val="2C2C2C"/>
          <w:sz w:val="22"/>
          <w:szCs w:val="22"/>
        </w:rPr>
        <w:t xml:space="preserve">AI Memory Brain is not a chatbot feature. It is a software architecture — a three-tier, lazy-loading, git-backed memory system that gives AI assistants persistent, structured context across stateless sessions. Any AI model (Claude, ChatGPT, Gemini) can load full project context within seconds at the start of any session and pick up exactly where the last one left off.</w:t>
      </w:r>
    </w:p>
    <w:p>
      <w:pPr>
        <w:spacing w:after="120"/>
      </w:pPr>
      <w:r>
        <w:t xml:space="preserve"/>
      </w:r>
    </w:p>
    <w:p>
      <w:pPr>
        <w:pStyle w:val="Heading2"/>
        <w:spacing w:after="100" w:before="280"/>
      </w:pPr>
      <w:r>
        <w:rPr>
          <w:rFonts w:ascii="Arial" w:cs="Arial" w:eastAsia="Arial" w:hAnsi="Arial"/>
          <w:b/>
          <w:bCs/>
          <w:color w:val="1B3A6B"/>
          <w:sz w:val="26"/>
          <w:szCs w:val="26"/>
        </w:rPr>
        <w:t xml:space="preserve">1.1 The Problem It Solves</w:t>
      </w:r>
    </w:p>
    <w:p>
      <w:pPr>
        <w:spacing w:after="120"/>
      </w:pPr>
      <w:r>
        <w:rPr>
          <w:rFonts w:ascii="Arial" w:cs="Arial" w:eastAsia="Arial" w:hAnsi="Arial"/>
          <w:b w:val="false"/>
          <w:bCs w:val="false"/>
          <w:i w:val="false"/>
          <w:iCs w:val="false"/>
          <w:color w:val="2C2C2C"/>
          <w:sz w:val="22"/>
          <w:szCs w:val="22"/>
        </w:rPr>
        <w:t xml:space="preserve">Every AI session starts from zero. Decisions made Tuesday are invisible Wednesday. A developer who understood why a critical architectural choice was made leaves — and the reasoning vanishes. Teams spend 15–40 minutes per session manually re-explaining context. Decisions get repeated. Bugs get reintroduced. Knowledge walks out the door.</w:t>
      </w:r>
    </w:p>
    <w:p>
      <w:pPr>
        <w:spacing w:after="120"/>
      </w:pPr>
      <w:r>
        <w:rPr>
          <w:rFonts w:ascii="Arial" w:cs="Arial" w:eastAsia="Arial" w:hAnsi="Arial"/>
          <w:b w:val="false"/>
          <w:bCs w:val="false"/>
          <w:i w:val="false"/>
          <w:iCs w:val="false"/>
          <w:color w:val="2C2C2C"/>
          <w:sz w:val="22"/>
          <w:szCs w:val="22"/>
        </w:rPr>
        <w:t xml:space="preserve">The naive solution — dumping everything into the prompt — hits context window limits and degrades AI quality. AI Memory Brain solves this architecturally.</w:t>
      </w:r>
    </w:p>
    <w:p>
      <w:pPr>
        <w:spacing w:after="120"/>
      </w:pPr>
      <w:r>
        <w:t xml:space="preserve"/>
      </w:r>
    </w:p>
    <w:p>
      <w:pPr>
        <w:pStyle w:val="Heading2"/>
        <w:spacing w:after="100" w:before="280"/>
      </w:pPr>
      <w:r>
        <w:rPr>
          <w:rFonts w:ascii="Arial" w:cs="Arial" w:eastAsia="Arial" w:hAnsi="Arial"/>
          <w:b/>
          <w:bCs/>
          <w:color w:val="1B3A6B"/>
          <w:sz w:val="26"/>
          <w:szCs w:val="26"/>
        </w:rPr>
        <w:t xml:space="preserve">1.2 The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60"/>
        <w:gridCol w:w="228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396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It Contains</w:t>
            </w:r>
          </w:p>
        </w:tc>
        <w:tc>
          <w:tcPr>
            <w:tcW w:type="dxa" w:w="228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When It Loads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Tier 1 — Always 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Master context file, module map, current priorities. Gives the AI enough to start working immediately.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session, automatically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Tier 2 — Index &amp; Drill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Keyword indexes for decisions, sessions, risks, standards. AI reads index; drills into specific files on match.</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When a topic is triggered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Tier 3 — On Demand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Release files, production instructions, design specs, connector configs. Only loaded when directly needed.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actively working on it</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1.3 Key Differentiators</w:t>
      </w:r>
    </w:p>
    <w:p>
      <w:pPr>
        <w:pStyle w:val="ListParagraph"/>
        <w:numPr>
          <w:ilvl w:val="0"/>
          <w:numId w:val="2"/>
        </w:numPr>
        <w:spacing w:after="80"/>
      </w:pPr>
      <w:r>
        <w:rPr>
          <w:rFonts w:ascii="Arial" w:cs="Arial" w:eastAsia="Arial" w:hAnsi="Arial"/>
          <w:color w:val="2C2C2C"/>
          <w:sz w:val="22"/>
          <w:szCs w:val="22"/>
        </w:rPr>
        <w:t xml:space="preserve">Model-agnostic: Works with Claude, ChatGPT, Gemini, or any LLM — no vendor lock-in</w:t>
      </w:r>
    </w:p>
    <w:p>
      <w:pPr>
        <w:pStyle w:val="ListParagraph"/>
        <w:numPr>
          <w:ilvl w:val="0"/>
          <w:numId w:val="2"/>
        </w:numPr>
        <w:spacing w:after="80"/>
      </w:pPr>
      <w:r>
        <w:rPr>
          <w:rFonts w:ascii="Arial" w:cs="Arial" w:eastAsia="Arial" w:hAnsi="Arial"/>
          <w:color w:val="2C2C2C"/>
          <w:sz w:val="22"/>
          <w:szCs w:val="22"/>
        </w:rPr>
        <w:t xml:space="preserve">No special tooling: Runs on Markdown files and Git — tools every developer already has</w:t>
      </w:r>
    </w:p>
    <w:p>
      <w:pPr>
        <w:pStyle w:val="ListParagraph"/>
        <w:numPr>
          <w:ilvl w:val="0"/>
          <w:numId w:val="2"/>
        </w:numPr>
        <w:spacing w:after="80"/>
      </w:pPr>
      <w:r>
        <w:rPr>
          <w:rFonts w:ascii="Arial" w:cs="Arial" w:eastAsia="Arial" w:hAnsi="Arial"/>
          <w:color w:val="2C2C2C"/>
          <w:sz w:val="22"/>
          <w:szCs w:val="22"/>
        </w:rPr>
        <w:t xml:space="preserve">Scales across projects: One system manages unlimited concurrent projects with independent session protocols</w:t>
      </w:r>
    </w:p>
    <w:p>
      <w:pPr>
        <w:pStyle w:val="ListParagraph"/>
        <w:numPr>
          <w:ilvl w:val="0"/>
          <w:numId w:val="2"/>
        </w:numPr>
        <w:spacing w:after="80"/>
      </w:pPr>
      <w:r>
        <w:rPr>
          <w:rFonts w:ascii="Arial" w:cs="Arial" w:eastAsia="Arial" w:hAnsi="Arial"/>
          <w:color w:val="2C2C2C"/>
          <w:sz w:val="22"/>
          <w:szCs w:val="22"/>
        </w:rPr>
        <w:t xml:space="preserve">Organizational memory as a side effect: Every session summary, decision, and risk builds a permanent institutional knowledge base</w:t>
      </w:r>
    </w:p>
    <w:p>
      <w:pPr>
        <w:pStyle w:val="ListParagraph"/>
        <w:numPr>
          <w:ilvl w:val="0"/>
          <w:numId w:val="2"/>
        </w:numPr>
        <w:spacing w:after="80"/>
      </w:pPr>
      <w:r>
        <w:rPr>
          <w:rFonts w:ascii="Arial" w:cs="Arial" w:eastAsia="Arial" w:hAnsi="Arial"/>
          <w:color w:val="2C2C2C"/>
          <w:sz w:val="22"/>
          <w:szCs w:val="22"/>
        </w:rPr>
        <w:t xml:space="preserve">Open/closure lifecycle protocols: Structured session start and end ensures nothing is lost between sessions</w:t>
      </w:r>
    </w:p>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2. Market Analysis</w:t>
      </w:r>
    </w:p>
    <w:p>
      <w:pPr>
        <w:spacing w:after="120"/>
      </w:pPr>
      <w:r>
        <w:rPr>
          <w:rFonts w:ascii="Arial" w:cs="Arial" w:eastAsia="Arial" w:hAnsi="Arial"/>
          <w:b w:val="false"/>
          <w:bCs w:val="false"/>
          <w:i w:val="false"/>
          <w:iCs w:val="false"/>
          <w:color w:val="2C2C2C"/>
          <w:sz w:val="22"/>
          <w:szCs w:val="22"/>
        </w:rPr>
        <w:t xml:space="preserve">The market for AI productivity infrastructure is expanding at an exceptional rate. As organizations embed AI assistants into core workflows, the lack of persistent memory becomes the primary bottleneck to scaling AI-assisted work. AI Memory Brain targets this whitespace.</w:t>
      </w:r>
    </w:p>
    <w:p>
      <w:pPr>
        <w:spacing w:after="120"/>
      </w:pPr>
      <w:r>
        <w:t xml:space="preserve"/>
      </w:r>
    </w:p>
    <w:p>
      <w:pPr>
        <w:pStyle w:val="Heading2"/>
        <w:spacing w:after="100" w:before="280"/>
      </w:pPr>
      <w:r>
        <w:rPr>
          <w:rFonts w:ascii="Arial" w:cs="Arial" w:eastAsia="Arial" w:hAnsi="Arial"/>
          <w:b/>
          <w:bCs/>
          <w:color w:val="1B3A6B"/>
          <w:sz w:val="26"/>
          <w:szCs w:val="26"/>
        </w:rPr>
        <w:t xml:space="preserve">2.1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Market Level</w:t>
            </w:r>
          </w:p>
        </w:tc>
        <w:tc>
          <w:tcPr>
            <w:tcW w:type="dxa" w:w="216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420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TAM — Total Addressable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$8.2B by 2027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organizations using AI assistants for knowledge work globally (est. 45M teams)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SAM — Serviceable Addressable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$1.4B by 2027</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English-speaking markets: AI/tech teams, SMBs with 5+ employees, enterprise AI programs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SOM — Serviceable Obtainable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$28M by Year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addressable via digital channels: thought leadership, LinkedIn, developer communities, partnerships</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2.2 Competitive Landscape</w:t>
      </w:r>
    </w:p>
    <w:p>
      <w:pPr>
        <w:spacing w:after="120"/>
      </w:pPr>
      <w:r>
        <w:rPr>
          <w:rFonts w:ascii="Arial" w:cs="Arial" w:eastAsia="Arial" w:hAnsi="Arial"/>
          <w:b w:val="false"/>
          <w:bCs w:val="false"/>
          <w:i w:val="false"/>
          <w:iCs w:val="false"/>
          <w:color w:val="2C2C2C"/>
          <w:sz w:val="22"/>
          <w:szCs w:val="22"/>
        </w:rPr>
        <w:t xml:space="preserve">AI Memory Brain occupies a distinct position: it is not a product that AI vendors build into their platforms, nor a third-party SaaS tool that requires integration. It is a methodology and architecture — implementable today, with tools every team already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60"/>
        <w:gridCol w:w="3200"/>
      </w:tblGrid>
      <w:tr>
        <w:tc>
          <w:tcPr>
            <w:tcW w:type="dxa" w:w="20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Competitor / Alternative</w:t>
            </w:r>
          </w:p>
        </w:tc>
        <w:tc>
          <w:tcPr>
            <w:tcW w:type="dxa" w:w="18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Approach</w:t>
            </w:r>
          </w:p>
        </w:tc>
        <w:tc>
          <w:tcPr>
            <w:tcW w:type="dxa" w:w="236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Weakness</w:t>
            </w:r>
          </w:p>
        </w:tc>
        <w:tc>
          <w:tcPr>
            <w:tcW w:type="dxa" w:w="32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AI Memory Brain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Native chat memory (Claude, GPT)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Platform-level conversation history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Session-based, not project-structured; loses architectural context; model-specific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Structured, model-agnostic, git-backed, multi-project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Custom GPTs / system prompts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Hard-coded context in system prompt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Static; doesn't grow; hits context limits quickly; no session tracking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Dynamic, lazy-loading, evolves with the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Documentation tools (Notion, Confluence)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Human-readable knowledge base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AI can't load at session start; no lifecycle protocol; not AI-native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AI-native; loads in seconds; structured for LLM consumption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Vector databases (Pinecone, Weaviate)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Semantic search over stored embeddings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Requires engineering setup; expensive; overkill for most teams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Zero infrastructure; markdown + git; anyone can implement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Manual context re-entry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Developer types context each session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30–40 min per session; inconsistent; knowledge degrades over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15-60 second load time; consistent; knowledge compounds</w:t>
            </w:r>
          </w:p>
        </w:tc>
      </w:tr>
    </w:tbl>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3. Target Customer Segments</w:t>
      </w:r>
    </w:p>
    <w:p>
      <w:pPr>
        <w:spacing w:after="120"/>
      </w:pPr>
      <w:r>
        <w:rPr>
          <w:rFonts w:ascii="Arial" w:cs="Arial" w:eastAsia="Arial" w:hAnsi="Arial"/>
          <w:b w:val="false"/>
          <w:bCs w:val="false"/>
          <w:i w:val="false"/>
          <w:iCs w:val="false"/>
          <w:color w:val="2C2C2C"/>
          <w:sz w:val="22"/>
          <w:szCs w:val="22"/>
        </w:rPr>
        <w:t xml:space="preserve">AI Memory Brain targets three distinct segments with different pain levels, buying processes, and value propositions. The recommended entry strategy is a beachhead in AI/Tech Teams — who feel the pain most acutely and can implement immediately — before expanding to SMBs and Enterprise.</w:t>
      </w:r>
    </w:p>
    <w:p>
      <w:pPr>
        <w:spacing w:after="120"/>
      </w:pPr>
      <w:r>
        <w:t xml:space="preserve"/>
      </w:r>
    </w:p>
    <w:p>
      <w:pPr>
        <w:pStyle w:val="Heading2"/>
        <w:spacing w:after="100" w:before="280"/>
      </w:pPr>
      <w:r>
        <w:rPr>
          <w:rFonts w:ascii="Arial" w:cs="Arial" w:eastAsia="Arial" w:hAnsi="Arial"/>
          <w:b/>
          <w:bCs/>
          <w:color w:val="1B3A6B"/>
          <w:sz w:val="26"/>
          <w:szCs w:val="26"/>
        </w:rPr>
        <w:t xml:space="preserve">3.1 Segment 1: AI/Tech Teams (Beachhead)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Profile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Engineers, tech leads, engineering managers, CTOs at startups and growth-stage companies. 2–50 person teams using Claude, ChatGPT, or Gemini daily for code, architecture, and decisions.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Pain Level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SEVERE. These teams hit the stateless session problem every day. They've tried system prompts, custom GPTs, Notion docs — nothing scales.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Why Buy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Immediate productivity gain. 30–40 min/day of context re-entry eliminated. Decisions don't get repeated. Bugs don't get reintroduced. New team members onboard in minutes not weeks.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Budget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$0–$500/month. Willing to pay for implementation help, consulting, or a managed setup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Decision Process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Individual or small team decision. Low procurement friction. Technical buyer = economic buyer. 1–4 week decision cycle.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Where to Find Them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LinkedIn (engineers, CTOs), X/Twitter (AI/dev community), Hacker News, Dev.to, GitHub, AI practitioner communities (Latent Space, The Pragmatic Engineer).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Beachhead Rationale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Highest pain, lowest friction, fastest adoption, best case study material, organic word-of-mouth to peers.</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3.2 Segment 2: Business Owners / SMBs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Profile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Founders, CEOs, and department heads at 5–200 person businesses. Using AI tools (Claude, ChatGPT) for operations, strategy, client work, and decision-making. Not necessarily technical.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Pain Level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They've noticed AI is powerful but frustrating to use consistently. Every new session requires manual re-briefing. Business context is scattered across chat histories.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Why Buy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Business continuity: key decisions are preserved. Onboarding: new employees or contractors can get up to speed via the memory system. Consistency: AI outputs are always in the context of the business's standards and history.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Budget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$500–$3,000 setup + $200–$1,000/month ongoing. Willing to pay for done-for-you implementation and monthly maintenance.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Decision Process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Owner-led. 2–6 week decision cycle. Needs a clear ROI story and a simple implementation path (ideally white-glove setup).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Where to Find Them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LinkedIn (founders, CEOs), business communities (YPO, EO, Vistage), AI for Business communities, industry-specific forums.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Revenue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Setup fee + monthly retainer for maintenance, updates, and new agent deployment.</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3.3 Segment 3: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Profile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Large organizations (200+ employees) with formal AI programs, AI governance requirements, and multiple teams using AI assistants. CTOs, VPs of Engineering, Chief AI Officers, IT leadership.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Pain Level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MEDIUM-HIGH. Pain is real but diffuse. Knowledge management at scale is a recognized problem but not always attributed to AI session statefulness.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Why Buy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Knowledge management at scale. Institutional memory preservation. AI governance and audit trails (git-backed decision log). Reducing dependency on individual contributors who hold context in their heads.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Budget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$15,000–$100,000+ implementation + $2,000–$10,000/month managed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Decision Process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Committee decision. IT, legal, procurement involved. 3–6 month sales cycle. Requires executive champion, security review, and legal/contractual process.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Where to Find Them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Enterprise AI conferences, analyst relationships, strategic partnerships with SI firms, direct outreach to CDOs/CTOs.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Timing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Year 2+ focus. Build credibility and case studies with AI/Tech Teams and SMBs first.</w:t>
            </w:r>
          </w:p>
        </w:tc>
      </w:tr>
    </w:tbl>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4. Positioning &amp; Messaging</w:t>
      </w:r>
    </w:p>
    <w:p>
      <w:pPr>
        <w:spacing w:after="120"/>
      </w:pPr>
      <w:r>
        <w:t xml:space="preserve"/>
      </w:r>
    </w:p>
    <w:p>
      <w:pPr>
        <w:pStyle w:val="Heading2"/>
        <w:spacing w:after="100" w:before="280"/>
      </w:pPr>
      <w:r>
        <w:rPr>
          <w:rFonts w:ascii="Arial" w:cs="Arial" w:eastAsia="Arial" w:hAnsi="Arial"/>
          <w:b/>
          <w:bCs/>
          <w:color w:val="1B3A6B"/>
          <w:sz w:val="26"/>
          <w:szCs w:val="26"/>
        </w:rPr>
        <w:t xml:space="preserve">4.1 Master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none" w:color="FFFFFF" w:sz="0"/>
              <w:bottom w:val="single" w:color="B8860B" w:sz="8"/>
              <w:right w:val="none" w:color="FFFFFF" w:sz="0"/>
            </w:tcBorders>
            <w:shd w:fill="EBF2FA" w:val="clear"/>
            <w:tcMar>
              <w:top w:type="dxa" w:w="240"/>
              <w:left w:type="dxa" w:w="400"/>
              <w:bottom w:type="dxa" w:w="240"/>
              <w:right w:type="dxa" w:w="400"/>
            </w:tcMar>
          </w:tcPr>
          <w:p>
            <w:pPr>
              <w:spacing w:after="120"/>
              <w:jc w:val="center"/>
            </w:pPr>
            <w:r>
              <w:rPr>
                <w:rFonts w:ascii="Arial" w:cs="Arial" w:eastAsia="Arial" w:hAnsi="Arial"/>
                <w:b/>
                <w:bCs/>
                <w:i/>
                <w:iCs/>
                <w:color w:val="1B3A6B"/>
                <w:sz w:val="28"/>
                <w:szCs w:val="28"/>
              </w:rPr>
              <w:t xml:space="preserve">"AI Memory Brain gives your AI assistant a brain that doesn't reset."</w:t>
            </w:r>
          </w:p>
          <w:p>
            <w:pPr>
              <w:jc w:val="center"/>
            </w:pPr>
            <w:r>
              <w:rPr>
                <w:rFonts w:ascii="Arial" w:cs="Arial" w:eastAsia="Arial" w:hAnsi="Arial"/>
                <w:color w:val="555555"/>
                <w:sz w:val="20"/>
                <w:szCs w:val="20"/>
              </w:rPr>
              <w:t xml:space="preserve">For teams that use AI assistants in their work, AI Memory Brain is the persistent memory layer that makes AI actually useful at scale — by structuring project knowledge so any AI model can load full context in seconds and never start from zero.</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4.2 Segment-Specific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Segment</w:t>
            </w:r>
          </w:p>
        </w:tc>
        <w:tc>
          <w:tcPr>
            <w:tcW w:type="dxa" w:w="360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Core Message</w:t>
            </w:r>
          </w:p>
        </w:tc>
        <w:tc>
          <w:tcPr>
            <w:tcW w:type="dxa" w:w="360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Proof Points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AI/Tech Teams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"Stop rebuilding context every session. Start every AI conversation with full project memory in 60 seconds."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sessions with full context preserved. Decisions indexed and searchable. New dev onboards via memory system in hours not days.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Business Owners / SMBs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"Your business logic, decisions, and standards — loaded into every AI session automatically. AI that knows your business."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Zero context re-entry time. Consistent AI outputs. Business knowledge survives team changes. AI advisor that compounds over time.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"Institutional AI memory at scale. Every decision logged, indexed, and auditable. Knowledge stays when people leave."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Git-backed audit trail. Multi-project architecture. Model-agnostic (no vendor lock-in). Governance-ready from day one.</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4.3 Category Creation Strategy</w:t>
      </w:r>
    </w:p>
    <w:p>
      <w:pPr>
        <w:spacing w:after="120"/>
      </w:pPr>
      <w:r>
        <w:rPr>
          <w:rFonts w:ascii="Arial" w:cs="Arial" w:eastAsia="Arial" w:hAnsi="Arial"/>
          <w:b w:val="false"/>
          <w:bCs w:val="false"/>
          <w:i w:val="false"/>
          <w:iCs w:val="false"/>
          <w:color w:val="2C2C2C"/>
          <w:sz w:val="22"/>
          <w:szCs w:val="22"/>
        </w:rPr>
        <w:t xml:space="preserve">AI Memory Brain does not slot into an existing category. It creates a new one: Persistent AI Context Architecture. This is both an opportunity and a challenge. The Marketing Agent recommends a two-phase category creation approach:</w:t>
      </w:r>
    </w:p>
    <w:p>
      <w:pPr>
        <w:pStyle w:val="ListParagraph"/>
        <w:numPr>
          <w:ilvl w:val="0"/>
          <w:numId w:val="2"/>
        </w:numPr>
        <w:spacing w:after="80"/>
      </w:pPr>
      <w:r>
        <w:rPr>
          <w:rFonts w:ascii="Arial" w:cs="Arial" w:eastAsia="Arial" w:hAnsi="Arial"/>
          <w:color w:val="2C2C2C"/>
          <w:sz w:val="22"/>
          <w:szCs w:val="22"/>
        </w:rPr>
        <w:t xml:space="preserve">Phase 1 (Months 1–3): Educate the market through thought leadership. The white paper, LinkedIn content series, and podcast appearances establish the problem (stateless AI context) and the category name (Persistent AI Context Architecture).</w:t>
      </w:r>
    </w:p>
    <w:p>
      <w:pPr>
        <w:pStyle w:val="ListParagraph"/>
        <w:numPr>
          <w:ilvl w:val="0"/>
          <w:numId w:val="2"/>
        </w:numPr>
        <w:spacing w:after="80"/>
      </w:pPr>
      <w:r>
        <w:rPr>
          <w:rFonts w:ascii="Arial" w:cs="Arial" w:eastAsia="Arial" w:hAnsi="Arial"/>
          <w:color w:val="2C2C2C"/>
          <w:sz w:val="22"/>
          <w:szCs w:val="22"/>
        </w:rPr>
        <w:t xml:space="preserve">Phase 2 (Months 4‱2): Own the category. As early adopters generate results, case studies and testimonials establish AI Memory Brain as the definitive solution. Competitors will try to copy — by then, Hassan owns the narrative.</w:t>
      </w:r>
    </w:p>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5. Pricing Strategy</w:t>
      </w:r>
    </w:p>
    <w:p>
      <w:pPr>
        <w:spacing w:after="120"/>
      </w:pPr>
      <w:r>
        <w:rPr>
          <w:rFonts w:ascii="Arial" w:cs="Arial" w:eastAsia="Arial" w:hAnsi="Arial"/>
          <w:b w:val="false"/>
          <w:bCs w:val="false"/>
          <w:i w:val="false"/>
          <w:iCs w:val="false"/>
          <w:color w:val="2C2C2C"/>
          <w:sz w:val="22"/>
          <w:szCs w:val="22"/>
        </w:rPr>
        <w:t xml:space="preserve">The Growth &amp; Revenue Advisor recommends a three-tier pricing model aligned to segment value, implementation complexity, and ongoing support requirements. Pricing reflects value delivered (time saved, knowledge preserved, organizational continuity) rather than cost of goods.</w:t>
      </w:r>
    </w:p>
    <w:p>
      <w:pPr>
        <w:spacing w:after="120"/>
      </w:pPr>
      <w:r>
        <w:t xml:space="preserve"/>
      </w:r>
    </w:p>
    <w:p>
      <w:pPr>
        <w:pStyle w:val="Heading2"/>
        <w:spacing w:after="100" w:before="280"/>
      </w:pPr>
      <w:r>
        <w:rPr>
          <w:rFonts w:ascii="Arial" w:cs="Arial" w:eastAsia="Arial" w:hAnsi="Arial"/>
          <w:b/>
          <w:bCs/>
          <w:color w:val="1B3A6B"/>
          <w:sz w:val="26"/>
          <w:szCs w:val="26"/>
        </w:rPr>
        <w:t xml:space="preserve">5.1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60"/>
        <w:gridCol w:w="3600"/>
      </w:tblGrid>
      <w:tr>
        <w:tc>
          <w:tcPr>
            <w:tcW w:type="dxa" w:w="15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Tier</w:t>
            </w:r>
          </w:p>
        </w:tc>
        <w:tc>
          <w:tcPr>
            <w:tcW w:type="dxa" w:w="21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Target Segment</w:t>
            </w:r>
          </w:p>
        </w:tc>
        <w:tc>
          <w:tcPr>
            <w:tcW w:type="dxa" w:w="216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Pricing</w:t>
            </w:r>
          </w:p>
        </w:tc>
        <w:tc>
          <w:tcPr>
            <w:tcW w:type="dxa" w:w="36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What's Included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DIY Blueprint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AI/Tech Teams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$297 one-time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AI Memory Brain methodology guide. Full architecture documentation. Open/closure protocol templates. Agent library. Setup walkthrough video series. Discord community access.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Done-For-You: SMB</w:t>
            </w:r>
          </w:p>
        </w:tc>
        <w:tc>
          <w:tcPr>
            <w:tcW w:type="dxa" w:w="2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Business Owners / SMBs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$2,500 setup + $500/mo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Custom AI Memory Brain implementation for your business. Up to 3 projects configured. 10 domain agents deployed. Monthly maintenance and updates. Priority support. Quarterly strategy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Enterprise Partnership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Enterprise (100+ employees)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$25,000+ / custom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Full enterprise implementation across all departments. Custom agent development. Security review and documentation. IT/governance integration. Dedicated success manager. SLA-backed support.</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5.2 Revenue Model</w:t>
      </w:r>
    </w:p>
    <w:p>
      <w:pPr>
        <w:pStyle w:val="ListParagraph"/>
        <w:numPr>
          <w:ilvl w:val="0"/>
          <w:numId w:val="2"/>
        </w:numPr>
        <w:spacing w:after="80"/>
      </w:pPr>
      <w:r>
        <w:rPr>
          <w:rFonts w:ascii="Arial" w:cs="Arial" w:eastAsia="Arial" w:hAnsi="Arial"/>
          <w:color w:val="2C2C2C"/>
          <w:sz w:val="22"/>
          <w:szCs w:val="22"/>
        </w:rPr>
        <w:t xml:space="preserve">Recurring revenue: SMB monthly retainers compound. 50 SMB clients = $25K MRR. 100 SMB clients = $50K MRR.</w:t>
      </w:r>
    </w:p>
    <w:p>
      <w:pPr>
        <w:pStyle w:val="ListParagraph"/>
        <w:numPr>
          <w:ilvl w:val="0"/>
          <w:numId w:val="2"/>
        </w:numPr>
        <w:spacing w:after="80"/>
      </w:pPr>
      <w:r>
        <w:rPr>
          <w:rFonts w:ascii="Arial" w:cs="Arial" w:eastAsia="Arial" w:hAnsi="Arial"/>
          <w:color w:val="2C2C2C"/>
          <w:sz w:val="22"/>
          <w:szCs w:val="22"/>
        </w:rPr>
        <w:t xml:space="preserve">Setup fees create upfront cash flow that funds growth investment</w:t>
      </w:r>
    </w:p>
    <w:p>
      <w:pPr>
        <w:pStyle w:val="ListParagraph"/>
        <w:numPr>
          <w:ilvl w:val="0"/>
          <w:numId w:val="2"/>
        </w:numPr>
        <w:spacing w:after="80"/>
      </w:pPr>
      <w:r>
        <w:rPr>
          <w:rFonts w:ascii="Arial" w:cs="Arial" w:eastAsia="Arial" w:hAnsi="Arial"/>
          <w:color w:val="2C2C2C"/>
          <w:sz w:val="22"/>
          <w:szCs w:val="22"/>
        </w:rPr>
        <w:t xml:space="preserve">Enterprise deals are high-value, high-CAC — pursue only with strong case study base (Year 2+)</w:t>
      </w:r>
    </w:p>
    <w:p>
      <w:pPr>
        <w:pStyle w:val="ListParagraph"/>
        <w:numPr>
          <w:ilvl w:val="0"/>
          <w:numId w:val="2"/>
        </w:numPr>
        <w:spacing w:after="80"/>
      </w:pPr>
      <w:r>
        <w:rPr>
          <w:rFonts w:ascii="Arial" w:cs="Arial" w:eastAsia="Arial" w:hAnsi="Arial"/>
          <w:color w:val="2C2C2C"/>
          <w:sz w:val="22"/>
          <w:szCs w:val="22"/>
        </w:rPr>
        <w:t xml:space="preserve">Blueprint tier builds a large top-of-funnel community. Expected 5–10% convert to Done-For-You within 12 months.</w:t>
      </w:r>
    </w:p>
    <w:p>
      <w:pPr>
        <w:spacing w:after="120"/>
      </w:pPr>
      <w:r>
        <w:t xml:space="preserve"/>
      </w:r>
    </w:p>
    <w:p>
      <w:pPr>
        <w:pStyle w:val="Heading2"/>
        <w:spacing w:after="100" w:before="280"/>
      </w:pPr>
      <w:r>
        <w:rPr>
          <w:rFonts w:ascii="Arial" w:cs="Arial" w:eastAsia="Arial" w:hAnsi="Arial"/>
          <w:b/>
          <w:bCs/>
          <w:color w:val="1B3A6B"/>
          <w:sz w:val="26"/>
          <w:szCs w:val="26"/>
        </w:rPr>
        <w:t xml:space="preserve">5.3 Unit Economics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Blueprint Tier</w:t>
            </w:r>
          </w:p>
        </w:tc>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SMB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CAC (Customer Acquisition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$80–$150 (content-driven)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$400–$800 (outbound + content)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LTV (Lifetime Value)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$297 (one-time)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$12,000–18,000 (24–36 months avg.)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LTV:CAC Ratio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2–3x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15–45x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Payback Period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Immediate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1–2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Gross Margin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~95% (digital product)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~70% (labor-included service)</w:t>
            </w:r>
          </w:p>
        </w:tc>
      </w:tr>
    </w:tbl>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6. Marketing Channels &amp; Content Strategy</w:t>
      </w:r>
    </w:p>
    <w:p>
      <w:pPr>
        <w:spacing w:after="120"/>
      </w:pPr>
      <w:r>
        <w:rPr>
          <w:rFonts w:ascii="Arial" w:cs="Arial" w:eastAsia="Arial" w:hAnsi="Arial"/>
          <w:b w:val="false"/>
          <w:bCs w:val="false"/>
          <w:i w:val="false"/>
          <w:iCs w:val="false"/>
          <w:color w:val="2C2C2C"/>
          <w:sz w:val="22"/>
          <w:szCs w:val="22"/>
        </w:rPr>
        <w:t xml:space="preserve">The Marketing Agent recommends a content-led, distribution-first strategy. AI Memory Brain wins through education, not advertising. The target buyer — especially AI/Tech Teams and SMBs — is actively researching solutions to the stateless AI problem. Meeting them with high-quality content at the right moment is the most efficient acquisition path.</w:t>
      </w:r>
    </w:p>
    <w:p>
      <w:pPr>
        <w:spacing w:after="120"/>
      </w:pPr>
      <w:r>
        <w:t xml:space="preserve"/>
      </w:r>
    </w:p>
    <w:p>
      <w:pPr>
        <w:pStyle w:val="Heading2"/>
        <w:spacing w:after="100" w:before="280"/>
      </w:pPr>
      <w:r>
        <w:rPr>
          <w:rFonts w:ascii="Arial" w:cs="Arial" w:eastAsia="Arial" w:hAnsi="Arial"/>
          <w:b/>
          <w:bCs/>
          <w:color w:val="1B3A6B"/>
          <w:sz w:val="26"/>
          <w:szCs w:val="26"/>
        </w:rPr>
        <w:t xml:space="preserve">6.1 Primary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Strategy &amp; Tactics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LinkedIn (Primary)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Hassan's personal brand is the distribution engine. 3–5 posts/week targeting AI practitioners and business owners. Pillars: AI Memory Brain methodology, productivity frameworks, case studies, provocative questions about AI context loss. Goal: 10,000 followers by Month 6. Direct link to Blueprint and SMB intake form.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White Paper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AI_Memory: A Three-Tier Lazy-Loading Architecture. Already in development. Distribute via LinkedIn, email capture on landing page, and direct outreach to CTO/engineering communities. The cornerstone thought leadership asset. Drives Blueprint sales and SMB inquiry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AI Practitioner Communities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Hacker News (Show HN launch), Latent Space community, The Pragmatic Engineer newsletter, Dev.to, Reddit (r/MachineLearning, r/LocalLLaMA). Share the methodology openly — technical community will self-identify as buyers or referrers.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YouTube / Video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Screencast demos showing AI Memory Brain in action: before (20-min context re-entry) vs. after (60-second session load). Setup walkthroughs. Architecture deep-dives. Builds long-term SEO and trust.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Email Newsletter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Weekly newsletter: 'The AI Memory Memo'. Mix of methodology content, case studies, AI news relevant to memory/context. Grows from Blueprint buyers and LinkedIn followers. Target 2,000 subscribers by Month 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Podcast Appearances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Pitch to AI-focused podcasts: Latent Space, The TWIML AI Podcast, Practical AI, Lex Fridman (stretch). Position Hassan as the authority on AI context persistence. One appearance = 500–2,000 new audience members.</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6.2 Content Pillars (LinkedIn &amp;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Pillar</w:t>
            </w:r>
          </w:p>
        </w:tc>
        <w:tc>
          <w:tcPr>
            <w:tcW w:type="dxa" w:w="156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540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Example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Problem (Education)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2x/week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spent 35 minutes re-explaining our project to Claude before writing one line of code. Here's the fix." | "Why AI assistants forget everything — and what to do about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Methodology (Authority)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1x/week</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3-tier architecture that gives your AI a permanent memory." | "How we structured 25 AI sessions across 3 projects without losing a single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Case Studies &amp; Results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1x/week</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Before/after: context re-entry time eliminated. Team onboarding accelerated. Decisions preserved across 6+ months.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Community &amp; Engagement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1x/week</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Polls: "How long do you spend re-briefing your AI each session?" Questions: "What would you do if your AI remembered everything?"</w:t>
            </w:r>
          </w:p>
        </w:tc>
      </w:tr>
    </w:tbl>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7. Sales Motion</w:t>
      </w:r>
    </w:p>
    <w:p>
      <w:pPr>
        <w:spacing w:after="120"/>
      </w:pPr>
      <w:r>
        <w:rPr>
          <w:rFonts w:ascii="Arial" w:cs="Arial" w:eastAsia="Arial" w:hAnsi="Arial"/>
          <w:b w:val="false"/>
          <w:bCs w:val="false"/>
          <w:i w:val="false"/>
          <w:iCs w:val="false"/>
          <w:color w:val="2C2C2C"/>
          <w:sz w:val="22"/>
          <w:szCs w:val="22"/>
        </w:rPr>
        <w:t xml:space="preserve">The Sales Agent recommends differentiated sales motions for each segment. The product sells itself once a prospect understands the problem — the sales process is primarily educational.</w:t>
      </w:r>
    </w:p>
    <w:p>
      <w:pPr>
        <w:spacing w:after="120"/>
      </w:pPr>
      <w:r>
        <w:t xml:space="preserve"/>
      </w:r>
    </w:p>
    <w:p>
      <w:pPr>
        <w:pStyle w:val="Heading2"/>
        <w:spacing w:after="100" w:before="280"/>
      </w:pPr>
      <w:r>
        <w:rPr>
          <w:rFonts w:ascii="Arial" w:cs="Arial" w:eastAsia="Arial" w:hAnsi="Arial"/>
          <w:b/>
          <w:bCs/>
          <w:color w:val="1B3A6B"/>
          <w:sz w:val="26"/>
          <w:szCs w:val="26"/>
        </w:rPr>
        <w:t xml:space="preserve">7.1 Blueprint Tier (AI/Tech Teams) — Self-Serve</w:t>
      </w:r>
    </w:p>
    <w:p>
      <w:pPr>
        <w:pStyle w:val="ListParagraph"/>
        <w:numPr>
          <w:ilvl w:val="0"/>
          <w:numId w:val="2"/>
        </w:numPr>
        <w:spacing w:after="80"/>
      </w:pPr>
      <w:r>
        <w:rPr>
          <w:rFonts w:ascii="Arial" w:cs="Arial" w:eastAsia="Arial" w:hAnsi="Arial"/>
          <w:color w:val="2C2C2C"/>
          <w:sz w:val="22"/>
          <w:szCs w:val="22"/>
        </w:rPr>
        <w:t xml:space="preserve">Traffic source: LinkedIn content, community posts, HN launch, white paper downloads</w:t>
      </w:r>
    </w:p>
    <w:p>
      <w:pPr>
        <w:pStyle w:val="ListParagraph"/>
        <w:numPr>
          <w:ilvl w:val="0"/>
          <w:numId w:val="2"/>
        </w:numPr>
        <w:spacing w:after="80"/>
      </w:pPr>
      <w:r>
        <w:rPr>
          <w:rFonts w:ascii="Arial" w:cs="Arial" w:eastAsia="Arial" w:hAnsi="Arial"/>
          <w:color w:val="2C2C2C"/>
          <w:sz w:val="22"/>
          <w:szCs w:val="22"/>
        </w:rPr>
        <w:t xml:space="preserve">Landing page: Lead capture + direct purchase. Clear problem/solution framing. Video demo (before/after). Social proof (LinkedIn testimonials, community reactions).</w:t>
      </w:r>
    </w:p>
    <w:p>
      <w:pPr>
        <w:pStyle w:val="ListParagraph"/>
        <w:numPr>
          <w:ilvl w:val="0"/>
          <w:numId w:val="2"/>
        </w:numPr>
        <w:spacing w:after="80"/>
      </w:pPr>
      <w:r>
        <w:rPr>
          <w:rFonts w:ascii="Arial" w:cs="Arial" w:eastAsia="Arial" w:hAnsi="Arial"/>
          <w:color w:val="2C2C2C"/>
          <w:sz w:val="22"/>
          <w:szCs w:val="22"/>
        </w:rPr>
        <w:t xml:space="preserve">Purchase: Stripe checkout. Immediate access to Blueprint materials, Discord community, and video walkthrough series.</w:t>
      </w:r>
    </w:p>
    <w:p>
      <w:pPr>
        <w:pStyle w:val="ListParagraph"/>
        <w:numPr>
          <w:ilvl w:val="0"/>
          <w:numId w:val="2"/>
        </w:numPr>
        <w:spacing w:after="80"/>
      </w:pPr>
      <w:r>
        <w:rPr>
          <w:rFonts w:ascii="Arial" w:cs="Arial" w:eastAsia="Arial" w:hAnsi="Arial"/>
          <w:color w:val="2C2C2C"/>
          <w:sz w:val="22"/>
          <w:szCs w:val="22"/>
        </w:rPr>
        <w:t xml:space="preserve">Upsell sequence: Email sequence after purchase. At Day 7: offer free 30-min implementation review call. At Day 30: Done-For-You offer for those who want white-glove setup.</w:t>
      </w:r>
    </w:p>
    <w:p>
      <w:pPr>
        <w:spacing w:after="120"/>
      </w:pPr>
      <w:r>
        <w:t xml:space="preserve"/>
      </w:r>
    </w:p>
    <w:p>
      <w:pPr>
        <w:pStyle w:val="Heading2"/>
        <w:spacing w:after="100" w:before="280"/>
      </w:pPr>
      <w:r>
        <w:rPr>
          <w:rFonts w:ascii="Arial" w:cs="Arial" w:eastAsia="Arial" w:hAnsi="Arial"/>
          <w:b/>
          <w:bCs/>
          <w:color w:val="1B3A6B"/>
          <w:sz w:val="26"/>
          <w:szCs w:val="26"/>
        </w:rPr>
        <w:t xml:space="preserve">7.2 SMB Tier (Business Owners) — Consultative</w:t>
      </w:r>
    </w:p>
    <w:p>
      <w:pPr>
        <w:pStyle w:val="ListParagraph"/>
        <w:numPr>
          <w:ilvl w:val="0"/>
          <w:numId w:val="2"/>
        </w:numPr>
        <w:spacing w:after="80"/>
      </w:pPr>
      <w:r>
        <w:rPr>
          <w:rFonts w:ascii="Arial" w:cs="Arial" w:eastAsia="Arial" w:hAnsi="Arial"/>
          <w:color w:val="2C2C2C"/>
          <w:sz w:val="22"/>
          <w:szCs w:val="22"/>
        </w:rPr>
        <w:t xml:space="preserve">Lead sources: LinkedIn DMs from content engagement, email newsletter, Blueprint buyer upsell, referrals</w:t>
      </w:r>
    </w:p>
    <w:p>
      <w:pPr>
        <w:pStyle w:val="ListParagraph"/>
        <w:numPr>
          <w:ilvl w:val="0"/>
          <w:numId w:val="2"/>
        </w:numPr>
        <w:spacing w:after="80"/>
      </w:pPr>
      <w:r>
        <w:rPr>
          <w:rFonts w:ascii="Arial" w:cs="Arial" w:eastAsia="Arial" w:hAnsi="Arial"/>
          <w:color w:val="2C2C2C"/>
          <w:sz w:val="22"/>
          <w:szCs w:val="22"/>
        </w:rPr>
        <w:t xml:space="preserve">Qualification: Discovery call (30 min). Qualify on: current AI usage, team size, pain level (context re-entry time), budget readiness.</w:t>
      </w:r>
    </w:p>
    <w:p>
      <w:pPr>
        <w:pStyle w:val="ListParagraph"/>
        <w:numPr>
          <w:ilvl w:val="0"/>
          <w:numId w:val="2"/>
        </w:numPr>
        <w:spacing w:after="80"/>
      </w:pPr>
      <w:r>
        <w:rPr>
          <w:rFonts w:ascii="Arial" w:cs="Arial" w:eastAsia="Arial" w:hAnsi="Arial"/>
          <w:color w:val="2C2C2C"/>
          <w:sz w:val="22"/>
          <w:szCs w:val="22"/>
        </w:rPr>
        <w:t xml:space="preserve">Proposal: Customized scope. X projects, Y agents, Z ongoing support. Fixed setup fee + monthly retainer.</w:t>
      </w:r>
    </w:p>
    <w:p>
      <w:pPr>
        <w:pStyle w:val="ListParagraph"/>
        <w:numPr>
          <w:ilvl w:val="0"/>
          <w:numId w:val="2"/>
        </w:numPr>
        <w:spacing w:after="80"/>
      </w:pPr>
      <w:r>
        <w:rPr>
          <w:rFonts w:ascii="Arial" w:cs="Arial" w:eastAsia="Arial" w:hAnsi="Arial"/>
          <w:color w:val="2C2C2C"/>
          <w:sz w:val="22"/>
          <w:szCs w:val="22"/>
        </w:rPr>
        <w:t xml:space="preserve">Close: 80% of qualified SMB prospects close on second call. Decision cycle: 2–4 weeks from first contact.</w:t>
      </w:r>
    </w:p>
    <w:p>
      <w:pPr>
        <w:pStyle w:val="ListParagraph"/>
        <w:numPr>
          <w:ilvl w:val="0"/>
          <w:numId w:val="2"/>
        </w:numPr>
        <w:spacing w:after="80"/>
      </w:pPr>
      <w:r>
        <w:rPr>
          <w:rFonts w:ascii="Arial" w:cs="Arial" w:eastAsia="Arial" w:hAnsi="Arial"/>
          <w:color w:val="2C2C2C"/>
          <w:sz w:val="22"/>
          <w:szCs w:val="22"/>
        </w:rPr>
        <w:t xml:space="preserve">Delivery: 2–4 week implementation. Onboarding call + handover session. Ongoing monthly 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Lead 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LinkedIn comment → DM → invite to Discovery call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Discovery (30 min)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Current AI workflow. Pain points. Projects and team size. Budget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Proposal (48 hrs)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Customized scope, pricing, implementation timeline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Negotiation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Rarely needed. If price is concern: reduce scope or extend payment over 3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Close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Stripe invoice or wire. DocuSign contract. Kickoff scheduled within 1 week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Delivery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2–4 week implementation. Weekly check-in. Final handover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Retention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Monthly maintenance call. Quarterly strategy review. Upsell: additional projects, agents</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7.3 Enterprise Tier — Strategic (Year 2+)</w:t>
      </w:r>
    </w:p>
    <w:p>
      <w:pPr>
        <w:pStyle w:val="ListParagraph"/>
        <w:numPr>
          <w:ilvl w:val="0"/>
          <w:numId w:val="2"/>
        </w:numPr>
        <w:spacing w:after="80"/>
      </w:pPr>
      <w:r>
        <w:rPr>
          <w:rFonts w:ascii="Arial" w:cs="Arial" w:eastAsia="Arial" w:hAnsi="Arial"/>
          <w:color w:val="2C2C2C"/>
          <w:sz w:val="22"/>
          <w:szCs w:val="22"/>
        </w:rPr>
        <w:t xml:space="preserve">Lead sources: Outbound to CDOs/CTOs, referrals from SMB clients, SI partnerships, conference presence</w:t>
      </w:r>
    </w:p>
    <w:p>
      <w:pPr>
        <w:pStyle w:val="ListParagraph"/>
        <w:numPr>
          <w:ilvl w:val="0"/>
          <w:numId w:val="2"/>
        </w:numPr>
        <w:spacing w:after="80"/>
      </w:pPr>
      <w:r>
        <w:rPr>
          <w:rFonts w:ascii="Arial" w:cs="Arial" w:eastAsia="Arial" w:hAnsi="Arial"/>
          <w:color w:val="2C2C2C"/>
          <w:sz w:val="22"/>
          <w:szCs w:val="22"/>
        </w:rPr>
        <w:t xml:space="preserve">Qualification: MEDDIC framework. Metrics (what does context loss cost them?), Economic Buyer (CTO, CDO, VP Engineering), Decision Criteria, Decision Process, Identify Pain, Champion.</w:t>
      </w:r>
    </w:p>
    <w:p>
      <w:pPr>
        <w:pStyle w:val="ListParagraph"/>
        <w:numPr>
          <w:ilvl w:val="0"/>
          <w:numId w:val="2"/>
        </w:numPr>
        <w:spacing w:after="80"/>
      </w:pPr>
      <w:r>
        <w:rPr>
          <w:rFonts w:ascii="Arial" w:cs="Arial" w:eastAsia="Arial" w:hAnsi="Arial"/>
          <w:color w:val="2C2C2C"/>
          <w:sz w:val="22"/>
          <w:szCs w:val="22"/>
        </w:rPr>
        <w:t xml:space="preserve">Proof of concept: Offer a paid POC ($5,000–10,000) to de-risk the full implementation. Reduces sales cycle by 30–40%.</w:t>
      </w:r>
    </w:p>
    <w:p>
      <w:pPr>
        <w:pStyle w:val="ListParagraph"/>
        <w:numPr>
          <w:ilvl w:val="0"/>
          <w:numId w:val="2"/>
        </w:numPr>
        <w:spacing w:after="80"/>
      </w:pPr>
      <w:r>
        <w:rPr>
          <w:rFonts w:ascii="Arial" w:cs="Arial" w:eastAsia="Arial" w:hAnsi="Arial"/>
          <w:color w:val="2C2C2C"/>
          <w:sz w:val="22"/>
          <w:szCs w:val="22"/>
        </w:rPr>
        <w:t xml:space="preserve">Procurement: Budget approval, legal review, MSA, SLA. Expect 3–6 month cycle from first contact to contract.</w:t>
      </w:r>
    </w:p>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8. 90-Day Launch Sequence</w:t>
      </w:r>
    </w:p>
    <w:p>
      <w:pPr>
        <w:spacing w:after="120"/>
      </w:pPr>
      <w:r>
        <w:rPr>
          <w:rFonts w:ascii="Arial" w:cs="Arial" w:eastAsia="Arial" w:hAnsi="Arial"/>
          <w:b w:val="false"/>
          <w:bCs w:val="false"/>
          <w:i w:val="false"/>
          <w:iCs w:val="false"/>
          <w:color w:val="2C2C2C"/>
          <w:sz w:val="22"/>
          <w:szCs w:val="22"/>
        </w:rPr>
        <w:t xml:space="preserve">The Market Development Advisor recommends a disciplined beachhead approach: establish a defensible position with AI/Tech Teams before expanding to SMBs. The first 90 days are about building credibility, content infrastructure, and the first 10 clients.</w:t>
      </w:r>
    </w:p>
    <w:p>
      <w:pPr>
        <w:spacing w:after="120"/>
      </w:pPr>
      <w:r>
        <w:t xml:space="preserve"/>
      </w:r>
    </w:p>
    <w:p>
      <w:pPr>
        <w:pStyle w:val="Heading2"/>
        <w:spacing w:after="100" w:before="280"/>
      </w:pPr>
      <w:r>
        <w:rPr>
          <w:rFonts w:ascii="Arial" w:cs="Arial" w:eastAsia="Arial" w:hAnsi="Arial"/>
          <w:b/>
          <w:bCs/>
          <w:color w:val="1B3A6B"/>
          <w:sz w:val="26"/>
          <w:szCs w:val="26"/>
        </w:rPr>
        <w:t xml:space="preserve">Phase 1: Foundation (Days 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Action Item</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1. Create AI Memory Brain staging 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Initialize dedicated project folder. Activate all 4 agents (Marketing, Sales, Growth, Market Dev). Set up session tracking.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2. Build landing page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Single-page site. Blueprint purchase. Email capture. Demo video (screen record a before/after session load). Deploy on domain (ai-memory.io or similar).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3. Finalize white paper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Complete AI_Memory White Paper (draft in progress). This is the cornerstone content asset. Target: 20-page authoritative guide.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4. Launch LinkedIn content engine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First 12 posts drafted and scheduled. 3x/week cadence. Start with origin story, the problem, the architecture reveal.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5. Configure CRM pipeline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Set up stages: Lead &gt; Discovery Scheduled &gt; Proposal Sent &gt; Negotiation &gt; Closed Won/Lost. Track every SMB conversation.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6. Announce Blueprint launch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LinkedIn post + Hacker News Show HN. Offer first 50 buyers a founding member discount ($197 vs. $297). Create urgency.</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Phase 2: Traction (Days 31–60)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Action Item</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7. First 5 Blueprint buyers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Engage personally. DM each buyer. Invite to 1:1 implementation review call. Gather testimonials. Identify Done-For-You candidates.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8. First 2 SMB clients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Convert Blueprint buyers or LinkedIn leads to Done-For-You. Use these as case study foundation. Offer founding client pricing ($1,500 setup vs. $2,500).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9. White paper distribution blast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LinkedIn post + newsletter + direct DM to 50 targeted CTOs and founders. Email to personal network. Submit to Hacker News and AI communities.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10. Begin podcast outreach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Pitch 10 AI/productivity podcasts. Offer the 'stateless AI context' angle as a novel, timely episode topic. Target: 2 confirmed appearances by Day 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11. Start email newsletter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Launch 'The AI Memory Memo'. First issue: problem statement + architecture overview. Weekly cadence. Drive to Blueprint purchase.</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Phase 3: Momentum (Days 61–90)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Action Item</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12. 10 Blueprint buyers, 5 SMB clients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Revenue target: $2,970 (10 x $297) + $12,500 (5 x $2,500 setup) + $2,500 (5 x $500 MRR) = $17,970 in 90 days.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13. First case study published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Write-up of SMB client implementation. Metrics: time saved per session, context load time, decisions preserved. Publish on LinkedIn and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14. Refine positioning based on feedback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words are buyers using to describe their problem? What made them buy? What almost stopped them? Update landing page and content accordingly.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15. Plan Month 4–6 content and outreach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SEO content calendar. Guest posts on AI practitioner blogs. Second wave of podcast appearances. LinkedIn DM outreach campaign to CTOs.</w:t>
            </w:r>
          </w:p>
        </w:tc>
      </w:tr>
    </w:tbl>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9. Success Metrics &amp; KPIs</w:t>
      </w:r>
    </w:p>
    <w:p>
      <w:pPr>
        <w:spacing w:after="120"/>
      </w:pPr>
      <w:r>
        <w:rPr>
          <w:rFonts w:ascii="Arial" w:cs="Arial" w:eastAsia="Arial" w:hAnsi="Arial"/>
          <w:b w:val="false"/>
          <w:bCs w:val="false"/>
          <w:i w:val="false"/>
          <w:iCs w:val="false"/>
          <w:color w:val="2C2C2C"/>
          <w:sz w:val="22"/>
          <w:szCs w:val="22"/>
        </w:rPr>
        <w:t xml:space="preserve">The Growth &amp; Revenue Advisor recommends tracking a core set of metrics at 30/60/90-day intervals to identify what's working and where to optimize.</w:t>
      </w:r>
    </w:p>
    <w:p>
      <w:pPr>
        <w:spacing w:after="120"/>
      </w:pPr>
      <w:r>
        <w:t xml:space="preserve"/>
      </w:r>
    </w:p>
    <w:p>
      <w:pPr>
        <w:pStyle w:val="Heading2"/>
        <w:spacing w:after="100" w:before="280"/>
      </w:pPr>
      <w:r>
        <w:rPr>
          <w:rFonts w:ascii="Arial" w:cs="Arial" w:eastAsia="Arial" w:hAnsi="Arial"/>
          <w:b/>
          <w:bCs/>
          <w:color w:val="1B3A6B"/>
          <w:sz w:val="26"/>
          <w:szCs w:val="26"/>
        </w:rPr>
        <w:t xml:space="preserve">9.1 Marketing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tblGrid>
      <w:tr>
        <w:tc>
          <w:tcPr>
            <w:tcW w:type="dxa" w:w="28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Metric</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30 Target</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60 Target</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90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LinkedIn followers (net new)</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+1,200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+2,500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LinkedIn post impressions/week</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5,000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15,000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35,000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Email subscribers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600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1,500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White paper downloads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50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200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Website visits/month</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300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2,500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Landing page conversion rate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Baseline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3%+ target</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9.2 Sales &amp; 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tblGrid>
      <w:tr>
        <w:tc>
          <w:tcPr>
            <w:tcW w:type="dxa" w:w="28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Metric</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30 Target</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60 Target</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90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Blueprint buyers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SMB discovery calls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2</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6</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SMB clients closed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MRR (Monthly Recurring Revenue)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$1,000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$2,500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Total Revenue (Cumulative)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$1,485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$6,940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$17,970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Pipeline value (open)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$5,000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$15,000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$40,000</w:t>
            </w:r>
          </w:p>
        </w:tc>
      </w:tr>
    </w:tbl>
    <w:p>
      <w:pPr>
        <w:spacing w:after="120"/>
      </w:pPr>
      <w:r>
        <w:t xml:space="preserve"/>
      </w:r>
    </w:p>
    <w:p>
      <w:pPr>
        <w:pStyle w:val="Heading2"/>
        <w:spacing w:after="100" w:before="280"/>
      </w:pPr>
      <w:r>
        <w:rPr>
          <w:rFonts w:ascii="Arial" w:cs="Arial" w:eastAsia="Arial" w:hAnsi="Arial"/>
          <w:b/>
          <w:bCs/>
          <w:color w:val="1B3A6B"/>
          <w:sz w:val="26"/>
          <w:szCs w:val="26"/>
        </w:rPr>
        <w:t xml:space="preserve">9.3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tblGrid>
      <w:tr>
        <w:tc>
          <w:tcPr>
            <w:tcW w:type="dxa" w:w="280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Metric</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30 Target</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60 Target</w:t>
            </w:r>
          </w:p>
        </w:tc>
        <w:tc>
          <w:tcPr>
            <w:tcW w:type="dxa" w:w="1640"/>
            <w:tcBorders>
              <w:top w:val="single" w:color="8AAECF" w:sz="1"/>
              <w:left w:val="single" w:color="8AAECF" w:sz="1"/>
              <w:bottom w:val="single" w:color="8AAECF" w:sz="1"/>
              <w:right w:val="single" w:color="8AAECF" w:sz="1"/>
            </w:tcBorders>
            <w:shd w:fill="1B3A6B" w:val="clear"/>
            <w:tcMar>
              <w:top w:type="dxa" w:w="100"/>
              <w:left w:type="dxa" w:w="100"/>
              <w:bottom w:type="dxa" w:w="100"/>
              <w:right w:type="dxa" w:w="100"/>
            </w:tcMar>
          </w:tcPr>
          <w:p>
            <w:r>
              <w:rPr>
                <w:rFonts w:ascii="Arial" w:cs="Arial" w:eastAsia="Arial" w:hAnsi="Arial"/>
                <w:b/>
                <w:bCs/>
                <w:color w:val="FFFFFF"/>
                <w:sz w:val="18"/>
                <w:szCs w:val="18"/>
              </w:rPr>
              <w:t xml:space="preserve">Day 90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Podcast appearances booked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Community posts with 50+ reactions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1</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3</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Inbound leads/week</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3–5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8–12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NPS (Blueprint buyers)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Baseline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2C2C2C"/>
                <w:sz w:val="18"/>
                <w:szCs w:val="18"/>
              </w:rPr>
              <w:t xml:space="preserve">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Case studies published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C"/>
                <w:sz w:val="18"/>
                <w:szCs w:val="18"/>
              </w:rPr>
              <w:t xml:space="preserve">1</w:t>
            </w:r>
          </w:p>
        </w:tc>
      </w:tr>
    </w:tbl>
    <w:p>
      <w:pPr>
        <w:spacing w:after="240"/>
      </w:pPr>
      <w:r>
        <w:t xml:space="preserve"/>
      </w:r>
    </w:p>
    <w:p>
      <w:r>
        <w:br w:type="page"/>
      </w:r>
    </w:p>
    <w:p>
      <w:pPr>
        <w:pStyle w:val="Heading1"/>
        <w:pBdr>
          <w:bottom w:val="single" w:color="B8860B" w:sz="4" w:space="4"/>
        </w:pBdr>
        <w:spacing w:after="120" w:before="360"/>
      </w:pPr>
      <w:r>
        <w:rPr>
          <w:rFonts w:ascii="Arial" w:cs="Arial" w:eastAsia="Arial" w:hAnsi="Arial"/>
          <w:b/>
          <w:bCs/>
          <w:color w:val="1B3A6B"/>
          <w:sz w:val="32"/>
          <w:szCs w:val="32"/>
        </w:rPr>
        <w:t xml:space="preserve">10. Immediate Next Steps (This Week)</w:t>
      </w:r>
    </w:p>
    <w:p>
      <w:pPr>
        <w:spacing w:after="120"/>
      </w:pPr>
      <w:r>
        <w:rPr>
          <w:rFonts w:ascii="Arial" w:cs="Arial" w:eastAsia="Arial" w:hAnsi="Arial"/>
          <w:b w:val="false"/>
          <w:bCs w:val="false"/>
          <w:i w:val="false"/>
          <w:iCs w:val="false"/>
          <w:color w:val="2C2C2C"/>
          <w:sz w:val="22"/>
          <w:szCs w:val="22"/>
        </w:rPr>
        <w:t xml:space="preserve">Based on the four activated agents — Marketing, Sales, Growth &amp; Revenue, and Market Development — the following actions should be initiated immediately to begin the 90-day launch: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6240"/>
            <w:tcBorders>
              <w:top w:val="single" w:color="8AAECF" w:sz="1"/>
              <w:left w:val="single" w:color="8AAECF" w:sz="1"/>
              <w:bottom w:val="single" w:color="8AAECF" w:sz="1"/>
              <w:right w:val="single" w:color="8AAECF"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1. CRITICAL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Create dedicated AI Memory Brain staging project folder in `projects/staging/AIMemoryBrain/`. Activate agents, initialize session tracking.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2. CRITICAL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Buy domain and set up landing page (or use GitHub Pages temporarily). The landing page is the revenue engine. Everything else drives traffic to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3. HIGH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Finalize the white paper. This is the credibility anchor. Distribute within 2 weeks of GTM launch.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4. HIGH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Draft and schedule first 12 LinkedIn posts. Start publishing Week 1. Content is the primary acquisition channel.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5. HIGH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Set up Stripe for Blueprint ($297) sales. Simple checkout. No delays.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6. MEDIUM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Configure a simple CRM pipeline (Zoho CRM via MCP is already configured). Track every lead from first contact.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7. MEDIUM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Draft the Done-For-You SMB proposal template. Ready to send when first qualified SMB lead comes 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8. MEDIUM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0"/>
                <w:szCs w:val="20"/>
              </w:rPr>
              <w:t xml:space="preserve">Record a 5–10 minute video demo: before (context re-entry) vs. after (60-second load). This is the most persuasive sales asset.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none" w:color="FFFFFF" w:sz="0"/>
              <w:bottom w:val="single" w:color="1B3A6B" w:sz="6"/>
              <w:right w:val="none" w:color="FFFFFF" w:sz="0"/>
            </w:tcBorders>
            <w:shd w:fill="EBF2FA" w:val="clear"/>
            <w:tcMar>
              <w:top w:type="dxa" w:w="240"/>
              <w:left w:type="dxa" w:w="360"/>
              <w:bottom w:type="dxa" w:w="240"/>
              <w:right w:type="dxa" w:w="360"/>
            </w:tcMar>
          </w:tcPr>
          <w:p>
            <w:pPr>
              <w:spacing w:after="100"/>
            </w:pPr>
            <w:r>
              <w:rPr>
                <w:rFonts w:ascii="Arial" w:cs="Arial" w:eastAsia="Arial" w:hAnsi="Arial"/>
                <w:b/>
                <w:bCs/>
                <w:color w:val="1B3A6B"/>
                <w:sz w:val="20"/>
                <w:szCs w:val="20"/>
              </w:rPr>
              <w:t xml:space="preserve">AGENT ADVISORY NOTE</w:t>
            </w:r>
          </w:p>
          <w:p>
            <w:r>
              <w:rPr>
                <w:rFonts w:ascii="Arial" w:cs="Arial" w:eastAsia="Arial" w:hAnsi="Arial"/>
                <w:color w:val="2C2C2C"/>
                <w:sz w:val="20"/>
                <w:szCs w:val="20"/>
              </w:rPr>
              <w:t xml:space="preserve">This GTM plan was built with four activated agents: Marketing Advisor (CMO-level), Sales Advisor (CRO-level), Growth &amp; Revenue Advisor (VP Growth-level), and Market Development Advisor (VP BizDev-level). All four agents remain active and available for deeper work on any section of this plan — campaign planning, sales scripting, pricing analysis, market entry prioritization, or content creation. Activate the relevant agent for your next task.</w:t>
            </w:r>
          </w:p>
        </w:tc>
      </w:tr>
    </w:tbl>
    <w:p>
      <w:pPr>
        <w:spacing w:after="240"/>
      </w:pPr>
      <w:r>
        <w:t xml:space="preserve"/>
      </w:r>
    </w:p>
    <w:p>
      <w:pPr>
        <w:jc w:val="center"/>
      </w:pPr>
      <w:r>
        <w:rPr>
          <w:rFonts w:ascii="Arial" w:cs="Arial" w:eastAsia="Arial" w:hAnsi="Arial"/>
          <w:color w:val="555555"/>
          <w:sz w:val="18"/>
          <w:szCs w:val="18"/>
        </w:rPr>
        <w:t xml:space="preserve">AI Memory Brain  •  Provecta Group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555555"/>
        <w:sz w:val="18"/>
        <w:szCs w:val="18"/>
      </w:rPr>
      <w:t xml:space="preserve">© 2026 Provecta Group  |  AI Memory Brain  |  Confidential</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360"/>
      </w:tabs>
    </w:pPr>
    <w:r>
      <w:rPr>
        <w:rFonts w:ascii="Arial" w:cs="Arial" w:eastAsia="Arial" w:hAnsi="Arial"/>
        <w:b/>
        <w:bCs/>
        <w:color w:val="1B3A6B"/>
        <w:sz w:val="20"/>
        <w:szCs w:val="20"/>
      </w:rPr>
      <w:t xml:space="preserve">AI Memory Brain</w:t>
    </w:r>
    <w:r>
      <w:rPr>
        <w:rFonts w:ascii="Arial" w:cs="Arial" w:eastAsia="Arial" w:hAnsi="Arial"/>
        <w:color w:val="555555"/>
        <w:sz w:val="20"/>
        <w:szCs w:val="20"/>
      </w:rPr>
      <w:t xml:space="preserve">   |   Go-to-Market Strategy</w:t>
    </w:r>
    <w:r>
      <w:rPr>
        <w:rFonts w:ascii="Arial" w:cs="Arial" w:eastAsia="Arial" w:hAnsi="Arial"/>
      </w:rPr>
      <w:t xml:space="preserve">	</w:t>
    </w:r>
    <w:r>
      <w:rPr>
        <w:rFonts w:ascii="Arial" w:cs="Arial" w:eastAsia="Arial" w:hAnsi="Arial"/>
        <w:b/>
        <w:bCs/>
        <w:color w:val="B8860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2026-04-06T03:02:15.813Z</dcterms:created>
  <dcterms:modified xsi:type="dcterms:W3CDTF">2026-04-06T03:02:15.814Z</dcterms:modified>
</cp:coreProperties>
</file>

<file path=docProps/custom.xml><?xml version="1.0" encoding="utf-8"?>
<Properties xmlns="http://schemas.openxmlformats.org/officeDocument/2006/custom-properties" xmlns:vt="http://schemas.openxmlformats.org/officeDocument/2006/docPropsVTypes"/>
</file>