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 w:lineRule="auto"/>
        <w:rPr>
          <w:sz w:val="18"/>
          <w:szCs w:val="18"/>
        </w:rPr>
      </w:pPr>
      <w:r w:rsidDel="00000000" w:rsidR="00000000" w:rsidRPr="00000000">
        <w:rPr>
          <w:rFonts w:ascii="Arial" w:cs="Arial" w:eastAsia="Arial" w:hAnsi="Arial"/>
          <w:b w:val="1"/>
          <w:bCs w:val="1"/>
          <w:color w:val="0b1f33"/>
          <w:sz w:val="44"/>
          <w:szCs w:val="44"/>
          <w:rtl w:val="0"/>
        </w:rPr>
        <w:t xml:space="preserve">MSIFS</w:t>
      </w:r>
      <w:r w:rsidDel="00000000" w:rsidR="00000000" w:rsidRPr="00000000">
        <w:rPr>
          <w:rtl w:val="0"/>
        </w:rPr>
      </w:r>
    </w:p>
    <w:p w:rsidR="00000000" w:rsidDel="00000000" w:rsidP="00000000" w:rsidRDefault="00000000" w:rsidRPr="00000000" w14:paraId="00000002">
      <w:pPr>
        <w:spacing w:after="10" w:lineRule="auto"/>
        <w:rPr/>
      </w:pPr>
      <w:r w:rsidDel="00000000" w:rsidR="00000000" w:rsidRPr="00000000">
        <w:rPr>
          <w:rFonts w:ascii="Arial" w:cs="Arial" w:eastAsia="Arial" w:hAnsi="Arial"/>
          <w:b w:val="1"/>
          <w:bCs w:val="1"/>
          <w:smallCaps w:val="1"/>
          <w:color w:val="b87333"/>
          <w:rtl w:val="0"/>
        </w:rPr>
        <w:t xml:space="preserve">MULTINATIONAL STRATEGIC INVESTMENT FUNDS</w:t>
      </w:r>
      <w:r w:rsidDel="00000000" w:rsidR="00000000" w:rsidRPr="00000000">
        <w:rPr>
          <w:rtl w:val="0"/>
        </w:rPr>
      </w:r>
    </w:p>
    <w:p w:rsidR="00000000" w:rsidDel="00000000" w:rsidP="00000000" w:rsidRDefault="00000000" w:rsidRPr="00000000" w14:paraId="00000003">
      <w:pPr>
        <w:spacing w:after="20" w:lineRule="auto"/>
        <w:rPr/>
      </w:pPr>
      <w:r w:rsidDel="00000000" w:rsidR="00000000" w:rsidRPr="00000000">
        <w:rPr>
          <w:rFonts w:ascii="Arial" w:cs="Arial" w:eastAsia="Arial" w:hAnsi="Arial"/>
          <w:color w:val="666666"/>
          <w:sz w:val="18"/>
          <w:szCs w:val="18"/>
          <w:rtl w:val="0"/>
        </w:rPr>
        <w:t xml:space="preserve">Frontier Impact Infrastructure &amp; Minerals Fund (FIIMF)  |  Project Overview  |  February 2026</w:t>
      </w:r>
      <w:r w:rsidDel="00000000" w:rsidR="00000000" w:rsidRPr="00000000">
        <w:rPr>
          <w:rtl w:val="0"/>
        </w:rPr>
      </w:r>
    </w:p>
    <w:p w:rsidR="00000000" w:rsidDel="00000000" w:rsidP="00000000" w:rsidRDefault="00000000" w:rsidRPr="00000000" w14:paraId="00000004">
      <w:pPr>
        <w:pBdr>
          <w:bottom w:color="b87333" w:space="2" w:sz="8" w:val="single"/>
        </w:pBdr>
        <w:spacing w:after="200" w:lineRule="auto"/>
        <w:rPr/>
      </w:pPr>
      <w:r w:rsidDel="00000000" w:rsidR="00000000" w:rsidRPr="00000000">
        <w:rPr>
          <w:rtl w:val="0"/>
        </w:rPr>
      </w:r>
    </w:p>
    <w:tbl>
      <w:tblPr>
        <w:tblStyle w:val="Table1"/>
        <w:tblW w:w="97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7560"/>
        <w:tblGridChange w:id="0">
          <w:tblGrid>
            <w:gridCol w:w="2160"/>
            <w:gridCol w:w="7560"/>
          </w:tblGrid>
        </w:tblGridChange>
      </w:tblGrid>
      <w:tr>
        <w:trPr>
          <w:cantSplit w:val="0"/>
          <w:tblHeader w:val="0"/>
        </w:trPr>
        <w:tc>
          <w:tcPr>
            <w:shd w:fill="0b1f33" w:val="clear"/>
            <w:tcMar>
              <w:top w:w="120.0" w:type="dxa"/>
              <w:left w:w="160.0" w:type="dxa"/>
              <w:bottom w:w="120.0" w:type="dxa"/>
              <w:right w:w="160.0" w:type="dxa"/>
            </w:tcMar>
            <w:vAlign w:val="center"/>
          </w:tcPr>
          <w:p w:rsidR="00000000" w:rsidDel="00000000" w:rsidP="00000000" w:rsidRDefault="00000000" w:rsidRPr="00000000" w14:paraId="00000005">
            <w:pPr>
              <w:jc w:val="center"/>
              <w:rPr/>
            </w:pPr>
            <w:r w:rsidDel="00000000" w:rsidR="00000000" w:rsidRPr="00000000">
              <w:rPr>
                <w:rFonts w:ascii="Arial" w:cs="Arial" w:eastAsia="Arial" w:hAnsi="Arial"/>
                <w:b w:val="1"/>
                <w:bCs w:val="1"/>
                <w:color w:val="ffffff"/>
                <w:sz w:val="18"/>
                <w:szCs w:val="18"/>
                <w:rtl w:val="0"/>
              </w:rPr>
              <w:t xml:space="preserve">Fund Size</w:t>
            </w:r>
            <w:r w:rsidDel="00000000" w:rsidR="00000000" w:rsidRPr="00000000">
              <w:rPr>
                <w:rtl w:val="0"/>
              </w:rPr>
            </w:r>
          </w:p>
          <w:p w:rsidR="00000000" w:rsidDel="00000000" w:rsidP="00000000" w:rsidRDefault="00000000" w:rsidRPr="00000000" w14:paraId="00000006">
            <w:pPr>
              <w:jc w:val="center"/>
              <w:rPr/>
            </w:pPr>
            <w:r w:rsidDel="00000000" w:rsidR="00000000" w:rsidRPr="00000000">
              <w:rPr>
                <w:rFonts w:ascii="Arial" w:cs="Arial" w:eastAsia="Arial" w:hAnsi="Arial"/>
                <w:b w:val="1"/>
                <w:bCs w:val="1"/>
                <w:color w:val="ffffff"/>
                <w:sz w:val="32"/>
                <w:szCs w:val="32"/>
                <w:rtl w:val="0"/>
              </w:rPr>
              <w:t xml:space="preserve">$200M</w:t>
            </w:r>
            <w:r w:rsidDel="00000000" w:rsidR="00000000" w:rsidRPr="00000000">
              <w:rPr>
                <w:rtl w:val="0"/>
              </w:rPr>
            </w:r>
          </w:p>
        </w:tc>
        <w:tc>
          <w:tcPr>
            <w:shd w:fill="f5f5f5" w:val="clear"/>
            <w:tcMar>
              <w:top w:w="120.0" w:type="dxa"/>
              <w:left w:w="200.0" w:type="dxa"/>
              <w:bottom w:w="120.0" w:type="dxa"/>
              <w:right w:w="160.0" w:type="dxa"/>
            </w:tcMar>
          </w:tcPr>
          <w:p w:rsidR="00000000" w:rsidDel="00000000" w:rsidP="00000000" w:rsidRDefault="00000000" w:rsidRPr="00000000" w14:paraId="00000007">
            <w:pPr>
              <w:rPr/>
            </w:pPr>
            <w:r w:rsidDel="00000000" w:rsidR="00000000" w:rsidRPr="00000000">
              <w:rPr>
                <w:rFonts w:ascii="Arial" w:cs="Arial" w:eastAsia="Arial" w:hAnsi="Arial"/>
                <w:b w:val="1"/>
                <w:bCs w:val="1"/>
                <w:rtl w:val="0"/>
              </w:rPr>
              <w:t xml:space="preserve">Structure: </w:t>
            </w:r>
            <w:r w:rsidDel="00000000" w:rsidR="00000000" w:rsidRPr="00000000">
              <w:rPr>
                <w:rFonts w:ascii="Arial" w:cs="Arial" w:eastAsia="Arial" w:hAnsi="Arial"/>
                <w:rtl w:val="0"/>
              </w:rPr>
              <w:t xml:space="preserve">10-year Limited Partnership  |  </w:t>
            </w:r>
            <w:r w:rsidDel="00000000" w:rsidR="00000000" w:rsidRPr="00000000">
              <w:rPr>
                <w:rFonts w:ascii="Arial" w:cs="Arial" w:eastAsia="Arial" w:hAnsi="Arial"/>
                <w:b w:val="1"/>
                <w:bCs w:val="1"/>
                <w:rtl w:val="0"/>
              </w:rPr>
              <w:t xml:space="preserve">Carry: </w:t>
            </w:r>
            <w:r w:rsidDel="00000000" w:rsidR="00000000" w:rsidRPr="00000000">
              <w:rPr>
                <w:rFonts w:ascii="Arial" w:cs="Arial" w:eastAsia="Arial" w:hAnsi="Arial"/>
                <w:rtl w:val="0"/>
              </w:rPr>
              <w:t xml:space="preserve">20% with</w:t>
            </w:r>
            <w:sdt>
              <w:sdtPr>
                <w:id w:val="632405758"/>
                <w:tag w:val="goog_rdk_0"/>
              </w:sdtPr>
              <w:sdtContent>
                <w:commentRangeStart w:id="0"/>
              </w:sdtContent>
            </w:sdt>
            <w:r w:rsidDel="00000000" w:rsidR="00000000" w:rsidRPr="00000000">
              <w:rPr>
                <w:rFonts w:ascii="Arial" w:cs="Arial" w:eastAsia="Arial" w:hAnsi="Arial"/>
                <w:rtl w:val="0"/>
              </w:rPr>
              <w:t xml:space="preserve"> 8% preferre</w:t>
            </w:r>
            <w:commentRangeEnd w:id="0"/>
            <w:r w:rsidDel="00000000" w:rsidR="00000000" w:rsidRPr="00000000">
              <w:commentReference w:id="0"/>
            </w:r>
            <w:r w:rsidDel="00000000" w:rsidR="00000000" w:rsidRPr="00000000">
              <w:rPr>
                <w:rFonts w:ascii="Arial" w:cs="Arial" w:eastAsia="Arial" w:hAnsi="Arial"/>
                <w:rtl w:val="0"/>
              </w:rPr>
              <w:t xml:space="preserve">d return hurdle</w:t>
            </w:r>
            <w:r w:rsidDel="00000000" w:rsidR="00000000" w:rsidRPr="00000000">
              <w:rPr>
                <w:rtl w:val="0"/>
              </w:rPr>
            </w:r>
          </w:p>
          <w:p w:rsidR="00000000" w:rsidDel="00000000" w:rsidP="00000000" w:rsidRDefault="00000000" w:rsidRPr="00000000" w14:paraId="00000008">
            <w:pPr>
              <w:spacing w:before="40" w:lineRule="auto"/>
              <w:rPr/>
            </w:pPr>
            <w:r w:rsidDel="00000000" w:rsidR="00000000" w:rsidRPr="00000000">
              <w:rPr>
                <w:rFonts w:ascii="Arial" w:cs="Arial" w:eastAsia="Arial" w:hAnsi="Arial"/>
                <w:b w:val="1"/>
                <w:bCs w:val="1"/>
                <w:rtl w:val="0"/>
              </w:rPr>
              <w:t xml:space="preserve">Geography: </w:t>
            </w:r>
            <w:r w:rsidDel="00000000" w:rsidR="00000000" w:rsidRPr="00000000">
              <w:rPr>
                <w:rFonts w:ascii="Arial" w:cs="Arial" w:eastAsia="Arial" w:hAnsi="Arial"/>
                <w:rtl w:val="0"/>
              </w:rPr>
              <w:t xml:space="preserve">East Africa (Kenya, Tanzania, Mozambique) &amp; Central Asia (Kazakhstan, Kyrgyzstan)</w:t>
            </w:r>
            <w:r w:rsidDel="00000000" w:rsidR="00000000" w:rsidRPr="00000000">
              <w:rPr>
                <w:rtl w:val="0"/>
              </w:rPr>
            </w:r>
          </w:p>
          <w:p w:rsidR="00000000" w:rsidDel="00000000" w:rsidP="00000000" w:rsidRDefault="00000000" w:rsidRPr="00000000" w14:paraId="00000009">
            <w:pPr>
              <w:spacing w:before="40" w:lineRule="auto"/>
              <w:rPr/>
            </w:pPr>
            <w:r w:rsidDel="00000000" w:rsidR="00000000" w:rsidRPr="00000000">
              <w:rPr>
                <w:rFonts w:ascii="Arial" w:cs="Arial" w:eastAsia="Arial" w:hAnsi="Arial"/>
                <w:b w:val="1"/>
                <w:bCs w:val="1"/>
                <w:rtl w:val="0"/>
              </w:rPr>
              <w:t xml:space="preserve">Ticket Size: </w:t>
            </w:r>
            <w:r w:rsidDel="00000000" w:rsidR="00000000" w:rsidRPr="00000000">
              <w:rPr>
                <w:rFonts w:ascii="Arial" w:cs="Arial" w:eastAsia="Arial" w:hAnsi="Arial"/>
                <w:rtl w:val="0"/>
              </w:rPr>
              <w:t xml:space="preserve">$5–15M per project  |  </w:t>
            </w:r>
            <w:r w:rsidDel="00000000" w:rsidR="00000000" w:rsidRPr="00000000">
              <w:rPr>
                <w:rFonts w:ascii="Arial" w:cs="Arial" w:eastAsia="Arial" w:hAnsi="Arial"/>
                <w:b w:val="1"/>
                <w:bCs w:val="1"/>
                <w:rtl w:val="0"/>
              </w:rPr>
              <w:t xml:space="preserve">Stage: </w:t>
            </w:r>
            <w:r w:rsidDel="00000000" w:rsidR="00000000" w:rsidRPr="00000000">
              <w:rPr>
                <w:rFonts w:ascii="Arial" w:cs="Arial" w:eastAsia="Arial" w:hAnsi="Arial"/>
                <w:rtl w:val="0"/>
              </w:rPr>
              <w:t xml:space="preserve">Active pipeline build; target LP conversations by April 2026</w:t>
            </w:r>
            <w:r w:rsidDel="00000000" w:rsidR="00000000" w:rsidRPr="00000000">
              <w:rPr>
                <w:rtl w:val="0"/>
              </w:rPr>
            </w:r>
          </w:p>
        </w:tc>
      </w:tr>
    </w:tbl>
    <w:p w:rsidR="00000000" w:rsidDel="00000000" w:rsidP="00000000" w:rsidRDefault="00000000" w:rsidRPr="00000000" w14:paraId="0000000A">
      <w:pPr>
        <w:pBdr>
          <w:bottom w:color="b87333" w:space="2" w:sz="4" w:val="single"/>
        </w:pBdr>
        <w:spacing w:after="80" w:before="240" w:lineRule="auto"/>
        <w:rPr/>
      </w:pPr>
      <w:r w:rsidDel="00000000" w:rsidR="00000000" w:rsidRPr="00000000">
        <w:rPr>
          <w:rFonts w:ascii="Arial" w:cs="Arial" w:eastAsia="Arial" w:hAnsi="Arial"/>
          <w:b w:val="1"/>
          <w:bCs w:val="1"/>
          <w:color w:val="0b1f33"/>
          <w:sz w:val="24"/>
          <w:szCs w:val="24"/>
          <w:rtl w:val="0"/>
        </w:rPr>
        <w:t xml:space="preserve">About MSIFS</w:t>
      </w:r>
      <w:r w:rsidDel="00000000" w:rsidR="00000000" w:rsidRPr="00000000">
        <w:rPr>
          <w:rtl w:val="0"/>
        </w:rPr>
      </w:r>
    </w:p>
    <w:p w:rsidR="00000000" w:rsidDel="00000000" w:rsidP="00000000" w:rsidRDefault="00000000" w:rsidRPr="00000000" w14:paraId="0000000B">
      <w:pPr>
        <w:spacing w:after="60" w:before="60" w:lineRule="auto"/>
        <w:rPr/>
      </w:pPr>
      <w:r w:rsidDel="00000000" w:rsidR="00000000" w:rsidRPr="00000000">
        <w:rPr>
          <w:rFonts w:ascii="Arial" w:cs="Arial" w:eastAsia="Arial" w:hAnsi="Arial"/>
          <w:rtl w:val="0"/>
        </w:rPr>
        <w:t xml:space="preserve">MSIFS — Multinational Strategic Investment Funds — is a frontier market investment platform purpose-built to deploy private capital into critical infrastructure and resource proje</w:t>
      </w:r>
      <w:sdt>
        <w:sdtPr>
          <w:id w:val="1909975584"/>
          <w:tag w:val="goog_rdk_1"/>
        </w:sdtPr>
        <w:sdtContent>
          <w:commentRangeStart w:id="1"/>
        </w:sdtContent>
      </w:sdt>
      <w:r w:rsidDel="00000000" w:rsidR="00000000" w:rsidRPr="00000000">
        <w:rPr>
          <w:rFonts w:ascii="Arial" w:cs="Arial" w:eastAsia="Arial" w:hAnsi="Arial"/>
          <w:rtl w:val="0"/>
        </w:rPr>
        <w:t xml:space="preserve">cts across East Africa and Central Asia. The platform combines on-the-ground regional partnerships, structured financial innovation, and rigorous impact governance to source and execute deals that institutional capital has historically struggled to access.</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0C">
      <w:pPr>
        <w:pBdr>
          <w:bottom w:color="b87333" w:space="2" w:sz="4" w:val="single"/>
        </w:pBdr>
        <w:spacing w:after="80" w:before="240" w:lineRule="auto"/>
        <w:rPr/>
      </w:pPr>
      <w:r w:rsidDel="00000000" w:rsidR="00000000" w:rsidRPr="00000000">
        <w:rPr>
          <w:rFonts w:ascii="Arial" w:cs="Arial" w:eastAsia="Arial" w:hAnsi="Arial"/>
          <w:b w:val="1"/>
          <w:bCs w:val="1"/>
          <w:color w:val="0b1f33"/>
          <w:sz w:val="24"/>
          <w:szCs w:val="24"/>
          <w:rtl w:val="0"/>
        </w:rPr>
        <w:t xml:space="preserve">Investment Thesis</w:t>
      </w:r>
      <w:r w:rsidDel="00000000" w:rsidR="00000000" w:rsidRPr="00000000">
        <w:rPr>
          <w:rtl w:val="0"/>
        </w:rPr>
      </w:r>
    </w:p>
    <w:p w:rsidR="00000000" w:rsidDel="00000000" w:rsidP="00000000" w:rsidRDefault="00000000" w:rsidRPr="00000000" w14:paraId="0000000D">
      <w:pPr>
        <w:spacing w:after="60" w:before="60" w:lineRule="auto"/>
        <w:rPr>
          <w:rFonts w:ascii="Arial" w:cs="Arial" w:eastAsia="Arial" w:hAnsi="Arial"/>
        </w:rPr>
      </w:pPr>
      <w:r w:rsidDel="00000000" w:rsidR="00000000" w:rsidRPr="00000000">
        <w:rPr>
          <w:rFonts w:ascii="Arial" w:cs="Arial" w:eastAsia="Arial" w:hAnsi="Arial"/>
          <w:rtl w:val="0"/>
        </w:rPr>
        <w:t xml:space="preserve">Across frontier markets, the largest inhibitors of economic growth are the absence of foundational infrastructure and the inability to refine and process local resources in-country. Inadequate transportation networks, unreliable energy systems, underdeveloped logistics corridors, and raw commodity export dependency trap economies below their productive potential.</w:t>
      </w:r>
    </w:p>
    <w:p w:rsidR="00000000" w:rsidDel="00000000" w:rsidP="00000000" w:rsidRDefault="00000000" w:rsidRPr="00000000" w14:paraId="0000000E">
      <w:pPr>
        <w:spacing w:after="60" w:before="60" w:lineRule="auto"/>
        <w:rPr/>
      </w:pPr>
      <w:r w:rsidDel="00000000" w:rsidR="00000000" w:rsidRPr="00000000">
        <w:rPr>
          <w:rFonts w:ascii="Arial" w:cs="Arial" w:eastAsia="Arial" w:hAnsi="Arial"/>
          <w:rtl w:val="0"/>
        </w:rPr>
        <w:t xml:space="preserve">MSIFS invests directly in these bottlenecks. By deploying capital into critical infrastructure and local resource refinement, we unlock compounding economic value: communities gain reliable connectivity and energy access, local industries capture more of the value chain, and investors benefit from the returns generated when previously constrained markets begin to function. Impact and return are the same transaction.</w:t>
      </w:r>
      <w:r w:rsidDel="00000000" w:rsidR="00000000" w:rsidRPr="00000000">
        <w:rPr>
          <w:rtl w:val="0"/>
        </w:rPr>
      </w:r>
    </w:p>
    <w:p w:rsidR="00000000" w:rsidDel="00000000" w:rsidP="00000000" w:rsidRDefault="00000000" w:rsidRPr="00000000" w14:paraId="0000000F">
      <w:pPr>
        <w:pBdr>
          <w:bottom w:color="b87333" w:space="2" w:sz="4" w:val="single"/>
        </w:pBdr>
        <w:spacing w:after="80" w:before="240" w:lineRule="auto"/>
        <w:rPr/>
      </w:pPr>
      <w:r w:rsidDel="00000000" w:rsidR="00000000" w:rsidRPr="00000000">
        <w:rPr>
          <w:rFonts w:ascii="Arial" w:cs="Arial" w:eastAsia="Arial" w:hAnsi="Arial"/>
          <w:b w:val="1"/>
          <w:bCs w:val="1"/>
          <w:color w:val="0b1f33"/>
          <w:sz w:val="24"/>
          <w:szCs w:val="24"/>
          <w:rtl w:val="0"/>
        </w:rPr>
        <w:t xml:space="preserve">Three-Pillar Strategy</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Resource Development: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Strategic investments in copper, lithium, cobalt, and rare earth projects with proven reserves requiring development capital.</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Infrastructure Enablers: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Targeted energy, transport, and water infrastructure that unlocks mineral resource access — including port logistics and corridor assets.</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Value Chain Integration: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Processing and beneficiation facilities to capture in-country value and build local supply chain capacity.</w:t>
      </w:r>
      <w:r w:rsidDel="00000000" w:rsidR="00000000" w:rsidRPr="00000000">
        <w:rPr>
          <w:rtl w:val="0"/>
        </w:rPr>
      </w:r>
    </w:p>
    <w:p w:rsidR="00000000" w:rsidDel="00000000" w:rsidP="00000000" w:rsidRDefault="00000000" w:rsidRPr="00000000" w14:paraId="00000013">
      <w:pPr>
        <w:pBdr>
          <w:bottom w:color="b87333" w:space="2" w:sz="4" w:val="single"/>
        </w:pBdr>
        <w:spacing w:after="80" w:before="240" w:lineRule="auto"/>
        <w:rPr/>
      </w:pPr>
      <w:r w:rsidDel="00000000" w:rsidR="00000000" w:rsidRPr="00000000">
        <w:rPr>
          <w:rFonts w:ascii="Arial" w:cs="Arial" w:eastAsia="Arial" w:hAnsi="Arial"/>
          <w:b w:val="1"/>
          <w:bCs w:val="1"/>
          <w:color w:val="0b1f33"/>
          <w:sz w:val="24"/>
          <w:szCs w:val="24"/>
          <w:rtl w:val="0"/>
        </w:rPr>
        <w:t xml:space="preserve">Active Pipeline Highlights</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Lamu Port (Kenya): LAPSSET corridor grain handling and logistics — $45M+ opportunity; community engagement via Grand Imam of Lamu underway (March 2026).</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Tanzania LNG Hub (Mtwara): Virtual pipeline LNG/CNG distribution; estimated $4.5B FDI impact; anchored by TPDC.</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Kazakhstan Critical Minerals: Lithium extraction and processing (East Kazakhstan, Ulan District); aligned with DBK's $1B rare earth financing program (20-year terms).</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Mozambique (Nacala/Maputo): Dry port/warehouse PPP and Maputo Port logistics; co-investment alongside DP World-led expansion.</w:t>
      </w:r>
      <w:r w:rsidDel="00000000" w:rsidR="00000000" w:rsidRPr="00000000">
        <w:rPr>
          <w:rtl w:val="0"/>
        </w:rPr>
      </w:r>
    </w:p>
    <w:p w:rsidR="00000000" w:rsidDel="00000000" w:rsidP="00000000" w:rsidRDefault="00000000" w:rsidRPr="00000000" w14:paraId="00000018">
      <w:pPr>
        <w:pBdr>
          <w:bottom w:color="b87333" w:space="2" w:sz="4" w:val="single"/>
        </w:pBdr>
        <w:spacing w:after="80" w:before="240" w:lineRule="auto"/>
        <w:rPr/>
      </w:pPr>
      <w:r w:rsidDel="00000000" w:rsidR="00000000" w:rsidRPr="00000000">
        <w:rPr>
          <w:rFonts w:ascii="Arial" w:cs="Arial" w:eastAsia="Arial" w:hAnsi="Arial"/>
          <w:b w:val="1"/>
          <w:bCs w:val="1"/>
          <w:color w:val="0b1f33"/>
          <w:sz w:val="24"/>
          <w:szCs w:val="24"/>
          <w:rtl w:val="0"/>
        </w:rPr>
        <w:t xml:space="preserve">Impact Framework</w:t>
      </w:r>
      <w:r w:rsidDel="00000000" w:rsidR="00000000" w:rsidRPr="00000000">
        <w:rPr>
          <w:rtl w:val="0"/>
        </w:rPr>
      </w:r>
    </w:p>
    <w:p w:rsidR="00000000" w:rsidDel="00000000" w:rsidP="00000000" w:rsidRDefault="00000000" w:rsidRPr="00000000" w14:paraId="00000019">
      <w:pPr>
        <w:spacing w:after="60" w:before="60" w:lineRule="auto"/>
        <w:rPr/>
      </w:pPr>
      <w:r w:rsidDel="00000000" w:rsidR="00000000" w:rsidRPr="00000000">
        <w:rPr>
          <w:rFonts w:ascii="Arial" w:cs="Arial" w:eastAsia="Arial" w:hAnsi="Arial"/>
          <w:rtl w:val="0"/>
        </w:rPr>
        <w:t xml:space="preserve">5% of carried interest is contractually linked to impact targets (IRIS+ aligned, LPAC-verified). Impact metrics span job creation, CO₂ avoidance, community health, and governance improvement — with flow-through provisions embedded in all portfolio project/company agreements.</w:t>
      </w:r>
      <w:r w:rsidDel="00000000" w:rsidR="00000000" w:rsidRPr="00000000">
        <w:rPr>
          <w:rtl w:val="0"/>
        </w:rPr>
      </w:r>
    </w:p>
    <w:sectPr>
      <w:footerReference r:id="rId9" w:type="default"/>
      <w:pgSz w:h="15840" w:w="12240" w:orient="portrait"/>
      <w:pgMar w:bottom="1080" w:top="1080" w:left="1260" w:right="126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lexander Orta" w:id="0" w:date="2026-03-10T12:44:51Z">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this a fair return?</w:t>
      </w:r>
    </w:p>
  </w:comment>
  <w:comment w:author="Alexander Orta" w:id="1" w:date="2026-03-10T12:38:48Z">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INFORMATION ABOUT THE TEAM.</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EXPERTISE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CONNECTIONS</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PROJECTS DELIVERED (by team members)</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1B" w15:done="0"/>
  <w15:commentEx w15:paraId="0000001F"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A">
    <w:pPr>
      <w:jc w:val="center"/>
      <w:rPr/>
    </w:pPr>
    <w:r w:rsidDel="00000000" w:rsidR="00000000" w:rsidRPr="00000000">
      <w:rPr>
        <w:rFonts w:ascii="Arial" w:cs="Arial" w:eastAsia="Arial" w:hAnsi="Arial"/>
        <w:i w:val="1"/>
        <w:iCs w:val="1"/>
        <w:color w:val="888888"/>
        <w:sz w:val="16"/>
        <w:szCs w:val="16"/>
        <w:rtl w:val="0"/>
      </w:rPr>
      <w:t xml:space="preserve">MSIFS — Multinational Strategic Investment Funds  |  For discussion purposes only  |  Confidential</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80" w:hanging="24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trong1" w:customStyle="1">
    <w:name w:val="Strong1"/>
    <w:qFormat w:val="1"/>
    <w:rPr>
      <w:b w:val="1"/>
      <w:bCs w:val="1"/>
    </w:rPr>
  </w:style>
  <w:style w:type="paragraph" w:styleId="ListParagraph">
    <w:name w:val="List Paragraph"/>
    <w:qFormat w:val="1"/>
  </w:style>
  <w:style w:type="character" w:styleId="Hyperlink">
    <w:name w:val="Hyperlink"/>
    <w:uiPriority w:val="99"/>
    <w:unhideWhenUsed w:val="1"/>
    <w:rPr>
      <w:color w:val="0563c1"/>
      <w:u w:val="single"/>
    </w:rPr>
  </w:style>
  <w:style w:type="character" w:styleId="FootnoteReference">
    <w:name w:val="footnote reference"/>
    <w:uiPriority w:val="99"/>
    <w:semiHidden w:val="1"/>
    <w:unhideWhenUsed w:val="1"/>
    <w:rPr>
      <w:vertAlign w:val="superscript"/>
    </w:rPr>
  </w:style>
  <w:style w:type="paragraph" w:styleId="FootnoteText">
    <w:name w:val="footnote text"/>
    <w:link w:val="FootnoteTextChar"/>
    <w:uiPriority w:val="99"/>
    <w:semiHidden w:val="1"/>
    <w:unhideWhenUsed w:val="1"/>
  </w:style>
  <w:style w:type="character" w:styleId="FootnoteTextChar" w:customStyle="1">
    <w:name w:val="Footnote Text Char"/>
    <w:link w:val="FootnoteText"/>
    <w:uiPriority w:val="99"/>
    <w:semiHidden w:val="1"/>
    <w:unhideWhenUsed w:val="1"/>
    <w:rPr>
      <w:sz w:val="20"/>
      <w:szCs w:val="20"/>
    </w:rPr>
  </w:style>
  <w:style w:type="paragraph" w:styleId="Header">
    <w:name w:val="header"/>
    <w:basedOn w:val="Normal"/>
    <w:link w:val="HeaderChar"/>
    <w:uiPriority w:val="99"/>
    <w:unhideWhenUsed w:val="1"/>
    <w:rsid w:val="00B4166E"/>
    <w:pPr>
      <w:tabs>
        <w:tab w:val="center" w:pos="4680"/>
        <w:tab w:val="right" w:pos="9360"/>
      </w:tabs>
    </w:pPr>
  </w:style>
  <w:style w:type="character" w:styleId="HeaderChar" w:customStyle="1">
    <w:name w:val="Header Char"/>
    <w:basedOn w:val="DefaultParagraphFont"/>
    <w:link w:val="Header"/>
    <w:uiPriority w:val="99"/>
    <w:rsid w:val="00B4166E"/>
  </w:style>
  <w:style w:type="paragraph" w:styleId="Footer">
    <w:name w:val="footer"/>
    <w:basedOn w:val="Normal"/>
    <w:link w:val="FooterChar"/>
    <w:uiPriority w:val="99"/>
    <w:unhideWhenUsed w:val="1"/>
    <w:rsid w:val="00B4166E"/>
    <w:pPr>
      <w:tabs>
        <w:tab w:val="center" w:pos="4680"/>
        <w:tab w:val="right" w:pos="9360"/>
      </w:tabs>
    </w:pPr>
  </w:style>
  <w:style w:type="character" w:styleId="FooterChar" w:customStyle="1">
    <w:name w:val="Footer Char"/>
    <w:basedOn w:val="DefaultParagraphFont"/>
    <w:link w:val="Footer"/>
    <w:uiPriority w:val="99"/>
    <w:rsid w:val="00B4166E"/>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3kalf5j6BCAdj8b7HP9UADuNI/w==">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2026-02-23T21:48:00Z</dcterms:created>
  <dc:creator>Un-named</dc:creator>
</cp:coreProperties>
</file>