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600"/>
              <w:left w:type="dxa" w:w="600"/>
              <w:bottom w:type="dxa" w:w="600"/>
              <w:right w:type="dxa" w:w="600"/>
            </w:tcMar>
          </w:tcPr>
          <w:p>
            <w:pPr>
              <w:spacing w:after="120"/>
            </w:pPr>
            <w:r>
              <w:rPr>
                <w:rFonts w:ascii="Arial" w:cs="Arial" w:eastAsia="Arial" w:hAnsi="Arial"/>
                <w:b/>
                <w:bCs/>
                <w:color w:val="C9A84C"/>
                <w:sz w:val="20"/>
                <w:szCs w:val="20"/>
              </w:rPr>
              <w:t xml:space="preserve">MARKET POSITION ANALYSIS</w:t>
            </w:r>
          </w:p>
          <w:p>
            <w:pPr>
              <w:spacing w:after="160"/>
            </w:pPr>
            <w:r>
              <w:rPr>
                <w:rFonts w:ascii="Arial" w:cs="Arial" w:eastAsia="Arial" w:hAnsi="Arial"/>
                <w:b/>
                <w:bCs/>
                <w:color w:val="FFFFFF"/>
                <w:sz w:val="56"/>
                <w:szCs w:val="56"/>
              </w:rPr>
              <w:t xml:space="preserve">Premier Realty Limited</w:t>
            </w:r>
          </w:p>
          <w:p>
            <w:pPr>
              <w:spacing w:after="240"/>
            </w:pPr>
            <w:r>
              <w:rPr>
                <w:rFonts w:ascii="Arial" w:cs="Arial" w:eastAsia="Arial" w:hAnsi="Arial"/>
                <w:i/>
                <w:iCs/>
                <w:color w:val="AABCCE"/>
                <w:sz w:val="28"/>
                <w:szCs w:val="28"/>
              </w:rPr>
              <w:t xml:space="preserve">Revenue Architecture &amp; Commercial Capability Assessment</w:t>
            </w:r>
          </w:p>
          <w:p>
            <w:r>
              <w:rPr>
                <w:rFonts w:ascii="Arial" w:cs="Arial" w:eastAsia="Arial" w:hAnsi="Arial"/>
                <w:color w:val="7A9BB5"/>
                <w:sz w:val="22"/>
                <w:szCs w:val="22"/>
              </w:rPr>
              <w:t xml:space="preserve">Kenya Real Estate Market  ·  Q2 2026</w:t>
            </w:r>
          </w:p>
        </w:tc>
      </w:tr>
    </w:tbl>
    <w:p>
      <w:pP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E8EEF4" w:val="clear"/>
            <w:tcMar>
              <w:top w:type="dxa" w:w="200"/>
              <w:left w:type="dxa" w:w="240"/>
              <w:bottom w:type="dxa" w:w="200"/>
              <w:right w:type="dxa" w:w="120"/>
            </w:tcMar>
          </w:tcPr>
          <w:p>
            <w:pPr>
              <w:spacing w:after="60"/>
            </w:pPr>
            <w:r>
              <w:rPr>
                <w:rFonts w:ascii="Arial" w:cs="Arial" w:eastAsia="Arial" w:hAnsi="Arial"/>
                <w:b/>
                <w:bCs/>
                <w:color w:val="0D6E6E"/>
                <w:sz w:val="16"/>
                <w:szCs w:val="16"/>
              </w:rPr>
              <w:t xml:space="preserve">PREPARED BY</w:t>
            </w:r>
          </w:p>
          <w:p>
            <w:pPr>
              <w:spacing w:after="40"/>
            </w:pPr>
            <w:r>
              <w:rPr>
                <w:rFonts w:ascii="Arial" w:cs="Arial" w:eastAsia="Arial" w:hAnsi="Arial"/>
                <w:b/>
                <w:bCs/>
                <w:color w:val="1B2A4A"/>
                <w:sz w:val="22"/>
                <w:szCs w:val="22"/>
              </w:rPr>
              <w:t xml:space="preserve">Provecta Group</w:t>
            </w:r>
          </w:p>
          <w:p>
            <w:r>
              <w:rPr>
                <w:rFonts w:ascii="Arial" w:cs="Arial" w:eastAsia="Arial" w:hAnsi="Arial"/>
                <w:color w:val="4A5568"/>
                <w:sz w:val="20"/>
                <w:szCs w:val="20"/>
              </w:rPr>
              <w:t xml:space="preserve">Hassan Wilson, Founder &amp; MD</w:t>
            </w:r>
          </w:p>
        </w:tc>
        <w:tc>
          <w:tcPr>
            <w:tcBorders>
              <w:top w:val="none" w:color="FFFFFF" w:sz="0"/>
              <w:left w:val="none" w:color="FFFFFF" w:sz="0"/>
              <w:bottom w:val="none" w:color="FFFFFF" w:sz="0"/>
              <w:right w:val="none" w:color="FFFFFF" w:sz="0"/>
            </w:tcBorders>
            <w:shd w:fill="E8EEF4" w:val="clear"/>
            <w:tcMar>
              <w:top w:type="dxa" w:w="200"/>
              <w:left w:type="dxa" w:w="240"/>
              <w:bottom w:type="dxa" w:w="200"/>
              <w:right w:type="dxa" w:w="120"/>
            </w:tcMar>
          </w:tcPr>
          <w:p>
            <w:pPr>
              <w:spacing w:after="60"/>
            </w:pPr>
            <w:r>
              <w:rPr>
                <w:rFonts w:ascii="Arial" w:cs="Arial" w:eastAsia="Arial" w:hAnsi="Arial"/>
                <w:b/>
                <w:bCs/>
                <w:color w:val="0D6E6E"/>
                <w:sz w:val="16"/>
                <w:szCs w:val="16"/>
              </w:rPr>
              <w:t xml:space="preserve">DATE OF ANALYSIS</w:t>
            </w:r>
          </w:p>
          <w:p>
            <w:pPr>
              <w:spacing w:after="40"/>
            </w:pPr>
            <w:r>
              <w:rPr>
                <w:rFonts w:ascii="Arial" w:cs="Arial" w:eastAsia="Arial" w:hAnsi="Arial"/>
                <w:b/>
                <w:bCs/>
                <w:color w:val="1B2A4A"/>
                <w:sz w:val="22"/>
                <w:szCs w:val="22"/>
              </w:rPr>
              <w:t xml:space="preserve">April 2026</w:t>
            </w:r>
          </w:p>
          <w:p>
            <w:r>
              <w:rPr>
                <w:rFonts w:ascii="Arial" w:cs="Arial" w:eastAsia="Arial" w:hAnsi="Arial"/>
                <w:color w:val="4A5568"/>
                <w:sz w:val="20"/>
                <w:szCs w:val="20"/>
              </w:rPr>
              <w:t xml:space="preserve">Kenya Real Estate Market</w:t>
            </w:r>
          </w:p>
        </w:tc>
        <w:tc>
          <w:tcPr>
            <w:tcBorders>
              <w:top w:val="none" w:color="FFFFFF" w:sz="0"/>
              <w:left w:val="none" w:color="FFFFFF" w:sz="0"/>
              <w:bottom w:val="none" w:color="FFFFFF" w:sz="0"/>
              <w:right w:val="none" w:color="FFFFFF" w:sz="0"/>
            </w:tcBorders>
            <w:shd w:fill="E8EEF4" w:val="clear"/>
            <w:tcMar>
              <w:top w:type="dxa" w:w="200"/>
              <w:left w:type="dxa" w:w="240"/>
              <w:bottom w:type="dxa" w:w="200"/>
              <w:right w:type="dxa" w:w="120"/>
            </w:tcMar>
          </w:tcPr>
          <w:p>
            <w:pPr>
              <w:spacing w:after="60"/>
            </w:pPr>
            <w:r>
              <w:rPr>
                <w:rFonts w:ascii="Arial" w:cs="Arial" w:eastAsia="Arial" w:hAnsi="Arial"/>
                <w:b/>
                <w:bCs/>
                <w:color w:val="0D6E6E"/>
                <w:sz w:val="16"/>
                <w:szCs w:val="16"/>
              </w:rPr>
              <w:t xml:space="preserve">CLASSIFICATION</w:t>
            </w:r>
          </w:p>
          <w:p>
            <w:pPr>
              <w:spacing w:after="40"/>
            </w:pPr>
            <w:r>
              <w:rPr>
                <w:rFonts w:ascii="Arial" w:cs="Arial" w:eastAsia="Arial" w:hAnsi="Arial"/>
                <w:b/>
                <w:bCs/>
                <w:color w:val="1B2A4A"/>
                <w:sz w:val="22"/>
                <w:szCs w:val="22"/>
              </w:rPr>
              <w:t xml:space="preserve">Confidential</w:t>
            </w:r>
          </w:p>
          <w:p>
            <w:r>
              <w:rPr>
                <w:rFonts w:ascii="Arial" w:cs="Arial" w:eastAsia="Arial" w:hAnsi="Arial"/>
                <w:color w:val="4A5568"/>
                <w:sz w:val="20"/>
                <w:szCs w:val="20"/>
              </w:rPr>
              <w:t xml:space="preserve">info@provectagroup.com</w:t>
            </w:r>
          </w:p>
        </w:tc>
      </w:tr>
    </w:tbl>
    <w:p>
      <w:r>
        <w:br w:type="page"/>
      </w:r>
    </w:p>
    <w:p>
      <w:pPr>
        <w:spacing w:after="80" w:before="360"/>
      </w:pPr>
      <w:r>
        <w:rPr>
          <w:rFonts w:ascii="Arial" w:cs="Arial" w:eastAsia="Arial" w:hAnsi="Arial"/>
          <w:b/>
          <w:bCs/>
          <w:color w:val="0D6E6E"/>
          <w:sz w:val="18"/>
          <w:szCs w:val="18"/>
        </w:rPr>
        <w:t xml:space="preserve">SECTION 01</w:t>
      </w:r>
    </w:p>
    <w:p>
      <w:pPr>
        <w:pStyle w:val="Heading1"/>
        <w:spacing w:after="160" w:before="120"/>
      </w:pPr>
      <w:r>
        <w:rPr>
          <w:rFonts w:ascii="Arial" w:cs="Arial" w:eastAsia="Arial" w:hAnsi="Arial"/>
          <w:b/>
          <w:bCs/>
          <w:color w:val="1B2A4A"/>
          <w:sz w:val="36"/>
          <w:szCs w:val="36"/>
        </w:rPr>
        <w:t xml:space="preserve">Executive Summary</w:t>
      </w:r>
    </w:p>
    <w:p>
      <w:pPr>
        <w:spacing w:after="100" w:before="80"/>
        <w:jc w:val="left"/>
      </w:pPr>
      <w:r>
        <w:rPr>
          <w:rFonts w:ascii="Arial" w:cs="Arial" w:eastAsia="Arial" w:hAnsi="Arial"/>
          <w:b w:val="false"/>
          <w:bCs w:val="false"/>
          <w:i w:val="false"/>
          <w:iCs w:val="false"/>
          <w:color w:val="333333"/>
          <w:sz w:val="22"/>
          <w:szCs w:val="22"/>
        </w:rPr>
        <w:t xml:space="preserve">Premier Realty Limited has built something rare in Kenya's real estate market: two decades of operational credibility, a multi-service platform, a formal diaspora offering, and active land development projects across the country's most compelling growth corridors. The foundation is strong. The revenue engine is not.</w:t>
      </w:r>
    </w:p>
    <w:p>
      <w:pPr>
        <w:spacing w:after="80" w:before="80"/>
      </w:pPr>
      <w:r>
        <w:t xml:space="preserve"/>
      </w:r>
    </w:p>
    <w:p>
      <w:pPr>
        <w:spacing w:after="100" w:before="80"/>
        <w:jc w:val="left"/>
      </w:pPr>
      <w:r>
        <w:rPr>
          <w:rFonts w:ascii="Arial" w:cs="Arial" w:eastAsia="Arial" w:hAnsi="Arial"/>
          <w:b w:val="false"/>
          <w:bCs w:val="false"/>
          <w:i w:val="false"/>
          <w:iCs w:val="false"/>
          <w:color w:val="333333"/>
          <w:sz w:val="22"/>
          <w:szCs w:val="22"/>
        </w:rPr>
        <w:t xml:space="preserve">This analysis assesses PRL's current commercial position across five dimensions: operational situation, revenue pain points, market impact, competitive urgency, and untapped opportunity. The findings are consistent: the gaps are not brand problems — they are revenue architecture problems. And they are fixable.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none" w:color="FFFFFF" w:sz="0"/>
              <w:left w:val="none" w:color="FFFFFF" w:sz="0"/>
              <w:bottom w:val="none" w:color="FFFFFF" w:sz="0"/>
              <w:right w:val="none" w:color="FFFFFF" w:sz="0"/>
            </w:tcBorders>
            <w:shd w:fill="1B2A4A" w:val="clear"/>
            <w:tcMar>
              <w:top w:type="dxa" w:w="120"/>
              <w:left w:type="dxa" w:w="200"/>
              <w:bottom w:type="dxa" w:w="120"/>
              <w:right w:type="dxa" w:w="200"/>
            </w:tcMar>
          </w:tcPr>
          <w:p>
            <w:r>
              <w:rPr>
                <w:rFonts w:ascii="Arial" w:cs="Arial" w:eastAsia="Arial" w:hAnsi="Arial"/>
                <w:b/>
                <w:bCs/>
                <w:color w:val="C9A84C"/>
                <w:sz w:val="18"/>
                <w:szCs w:val="18"/>
              </w:rPr>
              <w:t xml:space="preserve">KEY FINDING</w:t>
            </w:r>
          </w:p>
        </w:tc>
        <w:tc>
          <w:tcPr>
            <w:tcBorders>
              <w:top w:val="none" w:color="FFFFFF" w:sz="0"/>
              <w:left w:val="none" w:color="FFFFFF" w:sz="0"/>
              <w:bottom w:val="none" w:color="FFFFFF" w:sz="0"/>
              <w:right w:val="none" w:color="FFFFFF" w:sz="0"/>
            </w:tcBorders>
            <w:shd w:fill="1B2A4A" w:val="clear"/>
            <w:tcMar>
              <w:top w:type="dxa" w:w="120"/>
              <w:left w:type="dxa" w:w="200"/>
              <w:bottom w:type="dxa" w:w="120"/>
              <w:right w:type="dxa" w:w="200"/>
            </w:tcMar>
          </w:tcPr>
          <w:p>
            <w:r>
              <w:rPr>
                <w:rFonts w:ascii="Arial" w:cs="Arial" w:eastAsia="Arial" w:hAnsi="Arial"/>
                <w:b/>
                <w:bCs/>
                <w:color w:val="C9A84C"/>
                <w:sz w:val="18"/>
                <w:szCs w:val="18"/>
              </w:rPr>
              <w:t xml:space="preserve">SUMMARY</w:t>
            </w:r>
          </w:p>
        </w:tc>
      </w:tr>
      <w:tr>
        <w:tc>
          <w:tcPr>
            <w:tcBorders>
              <w:top w:val="single" w:color="CCCCCC" w:sz="1"/>
              <w:left w:val="single" w:color="CCCCCC" w:sz="1"/>
              <w:bottom w:val="single" w:color="CCCCCC" w:sz="1"/>
              <w:right w:val="single" w:color="CCCCCC" w:sz="1"/>
            </w:tcBorders>
            <w:shd w:fill="F5F8FB" w:val="clear"/>
            <w:tcMar>
              <w:top w:type="dxa" w:w="120"/>
              <w:left w:type="dxa" w:w="200"/>
              <w:bottom w:type="dxa" w:w="120"/>
              <w:right w:type="dxa" w:w="200"/>
            </w:tcMar>
            <w:vAlign w:val="top"/>
          </w:tcPr>
          <w:p>
            <w:r>
              <w:rPr>
                <w:rFonts w:ascii="Arial" w:cs="Arial" w:eastAsia="Arial" w:hAnsi="Arial"/>
                <w:b/>
                <w:bCs/>
                <w:color w:val="0D6E6E"/>
                <w:sz w:val="20"/>
                <w:szCs w:val="20"/>
              </w:rPr>
              <w:t xml:space="preserve">Strong Operational Foundation</w:t>
            </w:r>
          </w:p>
        </w:tc>
        <w:tc>
          <w:tcPr>
            <w:tcBorders>
              <w:top w:val="single" w:color="CCCCCC" w:sz="1"/>
              <w:left w:val="single" w:color="CCCCCC" w:sz="1"/>
              <w:bottom w:val="single" w:color="CCCCCC" w:sz="1"/>
              <w:right w:val="single" w:color="CCCCCC" w:sz="1"/>
            </w:tcBorders>
            <w:shd w:fill="F5F8FB" w:val="clear"/>
            <w:tcMar>
              <w:top w:type="dxa" w:w="120"/>
              <w:left w:type="dxa" w:w="200"/>
              <w:bottom w:type="dxa" w:w="120"/>
              <w:right w:type="dxa" w:w="200"/>
            </w:tcMar>
          </w:tcPr>
          <w:p>
            <w:r>
              <w:rPr>
                <w:rFonts w:ascii="Arial" w:cs="Arial" w:eastAsia="Arial" w:hAnsi="Arial"/>
                <w:color w:val="333333"/>
                <w:sz w:val="20"/>
                <w:szCs w:val="20"/>
              </w:rPr>
              <w:t xml:space="preserve">20 years of operation, 18-person team, multi-service platform, active land development across 5 growth corridors.</w:t>
            </w:r>
          </w:p>
        </w:tc>
      </w:tr>
      <w:tr>
        <w:tc>
          <w:tcPr>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vAlign w:val="top"/>
          </w:tcPr>
          <w:p>
            <w:r>
              <w:rPr>
                <w:rFonts w:ascii="Arial" w:cs="Arial" w:eastAsia="Arial" w:hAnsi="Arial"/>
                <w:b/>
                <w:bCs/>
                <w:color w:val="0D6E6E"/>
                <w:sz w:val="20"/>
                <w:szCs w:val="20"/>
              </w:rPr>
              <w:t xml:space="preserve">Significant Revenue Architecture Gaps</w:t>
            </w:r>
          </w:p>
        </w:tc>
        <w:tc>
          <w:tcPr>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333333"/>
                <w:sz w:val="20"/>
                <w:szCs w:val="20"/>
              </w:rPr>
              <w:t xml:space="preserve">No CRM, no structured sales process, no pipeline visibility, no documented lead lifecycle — revenue runs on instinct, not system.</w:t>
            </w:r>
          </w:p>
        </w:tc>
      </w:tr>
      <w:tr>
        <w:tc>
          <w:tcPr>
            <w:tcBorders>
              <w:top w:val="single" w:color="CCCCCC" w:sz="1"/>
              <w:left w:val="single" w:color="CCCCCC" w:sz="1"/>
              <w:bottom w:val="single" w:color="CCCCCC" w:sz="1"/>
              <w:right w:val="single" w:color="CCCCCC" w:sz="1"/>
            </w:tcBorders>
            <w:shd w:fill="F5F8FB" w:val="clear"/>
            <w:tcMar>
              <w:top w:type="dxa" w:w="120"/>
              <w:left w:type="dxa" w:w="200"/>
              <w:bottom w:type="dxa" w:w="120"/>
              <w:right w:type="dxa" w:w="200"/>
            </w:tcMar>
            <w:vAlign w:val="top"/>
          </w:tcPr>
          <w:p>
            <w:r>
              <w:rPr>
                <w:rFonts w:ascii="Arial" w:cs="Arial" w:eastAsia="Arial" w:hAnsi="Arial"/>
                <w:b/>
                <w:bCs/>
                <w:color w:val="0D6E6E"/>
                <w:sz w:val="20"/>
                <w:szCs w:val="20"/>
              </w:rPr>
              <w:t xml:space="preserve">Severely Underdeveloped Digital Presence</w:t>
            </w:r>
          </w:p>
        </w:tc>
        <w:tc>
          <w:tcPr>
            <w:tcBorders>
              <w:top w:val="single" w:color="CCCCCC" w:sz="1"/>
              <w:left w:val="single" w:color="CCCCCC" w:sz="1"/>
              <w:bottom w:val="single" w:color="CCCCCC" w:sz="1"/>
              <w:right w:val="single" w:color="CCCCCC" w:sz="1"/>
            </w:tcBorders>
            <w:shd w:fill="F5F8FB" w:val="clear"/>
            <w:tcMar>
              <w:top w:type="dxa" w:w="120"/>
              <w:left w:type="dxa" w:w="200"/>
              <w:bottom w:type="dxa" w:w="120"/>
              <w:right w:type="dxa" w:w="200"/>
            </w:tcMar>
          </w:tcPr>
          <w:p>
            <w:r>
              <w:rPr>
                <w:rFonts w:ascii="Arial" w:cs="Arial" w:eastAsia="Arial" w:hAnsi="Arial"/>
                <w:color w:val="333333"/>
                <w:sz w:val="20"/>
                <w:szCs w:val="20"/>
              </w:rPr>
              <w:t xml:space="preserve">188 LinkedIn followers after two decades. A broken blog page. No content marketing programme. No SEO footprint.</w:t>
            </w:r>
          </w:p>
        </w:tc>
      </w:tr>
      <w:tr>
        <w:tc>
          <w:tcPr>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vAlign w:val="top"/>
          </w:tcPr>
          <w:p>
            <w:r>
              <w:rPr>
                <w:rFonts w:ascii="Arial" w:cs="Arial" w:eastAsia="Arial" w:hAnsi="Arial"/>
                <w:b/>
                <w:bCs/>
                <w:color w:val="0D6E6E"/>
                <w:sz w:val="20"/>
                <w:szCs w:val="20"/>
              </w:rPr>
              <w:t xml:space="preserve">Unmonetised Diaspora Segment</w:t>
            </w:r>
          </w:p>
        </w:tc>
        <w:tc>
          <w:tcPr>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333333"/>
                <w:sz w:val="20"/>
                <w:szCs w:val="20"/>
              </w:rPr>
              <w:t xml:space="preserve">The diaspora buyer — Kenya real estate's highest-value customer group — has no structured acquisition funnel at PRL.</w:t>
            </w:r>
          </w:p>
        </w:tc>
      </w:tr>
      <w:tr>
        <w:tc>
          <w:tcPr>
            <w:tcBorders>
              <w:top w:val="single" w:color="CCCCCC" w:sz="1"/>
              <w:left w:val="single" w:color="CCCCCC" w:sz="1"/>
              <w:bottom w:val="single" w:color="CCCCCC" w:sz="1"/>
              <w:right w:val="single" w:color="CCCCCC" w:sz="1"/>
            </w:tcBorders>
            <w:shd w:fill="F5F8FB" w:val="clear"/>
            <w:tcMar>
              <w:top w:type="dxa" w:w="120"/>
              <w:left w:type="dxa" w:w="200"/>
              <w:bottom w:type="dxa" w:w="120"/>
              <w:right w:type="dxa" w:w="200"/>
            </w:tcMar>
            <w:vAlign w:val="top"/>
          </w:tcPr>
          <w:p>
            <w:r>
              <w:rPr>
                <w:rFonts w:ascii="Arial" w:cs="Arial" w:eastAsia="Arial" w:hAnsi="Arial"/>
                <w:b/>
                <w:bCs/>
                <w:color w:val="0D6E6E"/>
                <w:sz w:val="20"/>
                <w:szCs w:val="20"/>
              </w:rPr>
              <w:t xml:space="preserve">Measurable Opportunity Inventory</w:t>
            </w:r>
          </w:p>
        </w:tc>
        <w:tc>
          <w:tcPr>
            <w:tcBorders>
              <w:top w:val="single" w:color="CCCCCC" w:sz="1"/>
              <w:left w:val="single" w:color="CCCCCC" w:sz="1"/>
              <w:bottom w:val="single" w:color="CCCCCC" w:sz="1"/>
              <w:right w:val="single" w:color="CCCCCC" w:sz="1"/>
            </w:tcBorders>
            <w:shd w:fill="F5F8FB" w:val="clear"/>
            <w:tcMar>
              <w:top w:type="dxa" w:w="120"/>
              <w:left w:type="dxa" w:w="200"/>
              <w:bottom w:type="dxa" w:w="120"/>
              <w:right w:type="dxa" w:w="200"/>
            </w:tcMar>
          </w:tcPr>
          <w:p>
            <w:r>
              <w:rPr>
                <w:rFonts w:ascii="Arial" w:cs="Arial" w:eastAsia="Arial" w:hAnsi="Arial"/>
                <w:color w:val="333333"/>
                <w:sz w:val="20"/>
                <w:szCs w:val="20"/>
              </w:rPr>
              <w:t xml:space="preserve">The gaps identified in this analysis represent a quantifiable and recoverable revenue opportunity, conservatively estimated at KES 10M–50M+ annually.</w:t>
            </w:r>
          </w:p>
        </w:tc>
      </w:tr>
    </w:tbl>
    <w:p>
      <w:r>
        <w:br w:type="page"/>
      </w:r>
    </w:p>
    <w:p>
      <w:pPr>
        <w:spacing w:after="80" w:before="360"/>
      </w:pPr>
      <w:r>
        <w:rPr>
          <w:rFonts w:ascii="Arial" w:cs="Arial" w:eastAsia="Arial" w:hAnsi="Arial"/>
          <w:b/>
          <w:bCs/>
          <w:color w:val="0D6E6E"/>
          <w:sz w:val="18"/>
          <w:szCs w:val="18"/>
        </w:rPr>
        <w:t xml:space="preserve">SECTION 02</w:t>
      </w:r>
    </w:p>
    <w:p>
      <w:pPr>
        <w:pStyle w:val="Heading1"/>
        <w:spacing w:after="160" w:before="120"/>
      </w:pPr>
      <w:r>
        <w:rPr>
          <w:rFonts w:ascii="Arial" w:cs="Arial" w:eastAsia="Arial" w:hAnsi="Arial"/>
          <w:b/>
          <w:bCs/>
          <w:color w:val="1B2A4A"/>
          <w:sz w:val="36"/>
          <w:szCs w:val="36"/>
        </w:rPr>
        <w:t xml:space="preserve">Company Profile &amp; Market Position</w:t>
      </w:r>
    </w:p>
    <w:p>
      <w:pPr>
        <w:spacing w:after="100" w:before="80"/>
        <w:jc w:val="left"/>
      </w:pPr>
      <w:r>
        <w:rPr>
          <w:rFonts w:ascii="Arial" w:cs="Arial" w:eastAsia="Arial" w:hAnsi="Arial"/>
          <w:b w:val="false"/>
          <w:bCs w:val="false"/>
          <w:i w:val="false"/>
          <w:iCs w:val="false"/>
          <w:color w:val="333333"/>
          <w:sz w:val="22"/>
          <w:szCs w:val="22"/>
        </w:rPr>
        <w:t xml:space="preserve">Premier Realty Limited is one of Kenya's longest-standing full-service real estate firms. The following profile summarises the firm's current operational footprint and market standing.</w:t>
      </w:r>
    </w:p>
    <w:p>
      <w:pPr>
        <w:spacing w:after="80" w:before="80"/>
      </w:pPr>
      <w:r>
        <w:t xml:space="preserve"/>
      </w:r>
    </w:p>
    <w:p>
      <w:pPr>
        <w:pStyle w:val="Heading2"/>
        <w:spacing w:after="120" w:before="240"/>
      </w:pPr>
      <w:r>
        <w:rPr>
          <w:rFonts w:ascii="Arial" w:cs="Arial" w:eastAsia="Arial" w:hAnsi="Arial"/>
          <w:b/>
          <w:bCs/>
          <w:color w:val="0D6E6E"/>
          <w:sz w:val="26"/>
          <w:szCs w:val="26"/>
        </w:rPr>
        <w:t xml:space="preserve">Operational Footprint</w:t>
      </w:r>
    </w:p>
    <w:p>
      <w:pPr>
        <w:pStyle w:val="ListParagraph"/>
        <w:numPr>
          <w:ilvl w:val="0"/>
          <w:numId w:val="2"/>
        </w:numPr>
        <w:spacing w:after="60" w:before="60"/>
      </w:pPr>
      <w:r>
        <w:rPr>
          <w:rFonts w:ascii="Arial" w:cs="Arial" w:eastAsia="Arial" w:hAnsi="Arial"/>
          <w:color w:val="333333"/>
          <w:sz w:val="22"/>
          <w:szCs w:val="22"/>
        </w:rPr>
        <w:t xml:space="preserve">Established: 20 years in operation | Headquarters: Westlands, Nairobi</w:t>
      </w:r>
    </w:p>
    <w:p>
      <w:pPr>
        <w:pStyle w:val="ListParagraph"/>
        <w:numPr>
          <w:ilvl w:val="0"/>
          <w:numId w:val="2"/>
        </w:numPr>
        <w:spacing w:after="60" w:before="60"/>
      </w:pPr>
      <w:r>
        <w:rPr>
          <w:rFonts w:ascii="Arial" w:cs="Arial" w:eastAsia="Arial" w:hAnsi="Arial"/>
          <w:color w:val="333333"/>
          <w:sz w:val="22"/>
          <w:szCs w:val="22"/>
        </w:rPr>
        <w:t xml:space="preserve">Team size: 18 people</w:t>
      </w:r>
    </w:p>
    <w:p>
      <w:pPr>
        <w:pStyle w:val="ListParagraph"/>
        <w:numPr>
          <w:ilvl w:val="0"/>
          <w:numId w:val="2"/>
        </w:numPr>
        <w:spacing w:after="60" w:before="60"/>
      </w:pPr>
      <w:r>
        <w:rPr>
          <w:rFonts w:ascii="Arial" w:cs="Arial" w:eastAsia="Arial" w:hAnsi="Arial"/>
          <w:color w:val="333333"/>
          <w:sz w:val="22"/>
          <w:szCs w:val="22"/>
        </w:rPr>
        <w:t xml:space="preserve">Active land development projects across 5 growth corridors</w:t>
      </w:r>
    </w:p>
    <w:p>
      <w:pPr>
        <w:pStyle w:val="ListParagraph"/>
        <w:numPr>
          <w:ilvl w:val="0"/>
          <w:numId w:val="2"/>
        </w:numPr>
        <w:spacing w:after="60" w:before="60"/>
      </w:pPr>
      <w:r>
        <w:rPr>
          <w:rFonts w:ascii="Arial" w:cs="Arial" w:eastAsia="Arial" w:hAnsi="Arial"/>
          <w:color w:val="333333"/>
          <w:sz w:val="22"/>
          <w:szCs w:val="22"/>
        </w:rPr>
        <w:t xml:space="preserve">200+ rental and sale listings under active management</w:t>
      </w:r>
    </w:p>
    <w:p>
      <w:pPr>
        <w:pStyle w:val="ListParagraph"/>
        <w:numPr>
          <w:ilvl w:val="0"/>
          <w:numId w:val="2"/>
        </w:numPr>
        <w:spacing w:after="60" w:before="60"/>
      </w:pPr>
      <w:r>
        <w:rPr>
          <w:rFonts w:ascii="Arial" w:cs="Arial" w:eastAsia="Arial" w:hAnsi="Arial"/>
          <w:color w:val="333333"/>
          <w:sz w:val="22"/>
          <w:szCs w:val="22"/>
        </w:rPr>
        <w:t xml:space="preserve">Client segments: Individual buyers, diaspora investors, corporates, embassies, NGOs</w:t>
      </w:r>
    </w:p>
    <w:p>
      <w:pPr>
        <w:pStyle w:val="ListParagraph"/>
        <w:numPr>
          <w:ilvl w:val="0"/>
          <w:numId w:val="2"/>
        </w:numPr>
        <w:spacing w:after="60" w:before="60"/>
      </w:pPr>
      <w:r>
        <w:rPr>
          <w:rFonts w:ascii="Arial" w:cs="Arial" w:eastAsia="Arial" w:hAnsi="Arial"/>
          <w:color w:val="333333"/>
          <w:sz w:val="22"/>
          <w:szCs w:val="22"/>
        </w:rPr>
        <w:t xml:space="preserve">Current market ranking: #27 in Kenya land sales (Gazebo Homes, 2026)</w:t>
      </w:r>
    </w:p>
    <w:p>
      <w:pPr>
        <w:spacing w:after="80" w:before="80"/>
      </w:pPr>
      <w:r>
        <w:t xml:space="preserve"/>
      </w:r>
    </w:p>
    <w:p>
      <w:pPr>
        <w:pStyle w:val="Heading2"/>
        <w:spacing w:after="120" w:before="240"/>
      </w:pPr>
      <w:r>
        <w:rPr>
          <w:rFonts w:ascii="Arial" w:cs="Arial" w:eastAsia="Arial" w:hAnsi="Arial"/>
          <w:b/>
          <w:bCs/>
          <w:color w:val="0D6E6E"/>
          <w:sz w:val="26"/>
          <w:szCs w:val="26"/>
        </w:rPr>
        <w:t xml:space="preserve">Active Development Projects</w:t>
      </w:r>
    </w:p>
    <w:p>
      <w:pPr>
        <w:pStyle w:val="ListParagraph"/>
        <w:numPr>
          <w:ilvl w:val="0"/>
          <w:numId w:val="2"/>
        </w:numPr>
        <w:spacing w:after="60" w:before="60"/>
      </w:pPr>
      <w:r>
        <w:rPr>
          <w:rFonts w:ascii="Arial" w:cs="Arial" w:eastAsia="Arial" w:hAnsi="Arial"/>
          <w:color w:val="333333"/>
          <w:sz w:val="22"/>
          <w:szCs w:val="22"/>
        </w:rPr>
        <w:t xml:space="preserve">Pana Ranch — Naivasha corridor</w:t>
      </w:r>
    </w:p>
    <w:p>
      <w:pPr>
        <w:pStyle w:val="ListParagraph"/>
        <w:numPr>
          <w:ilvl w:val="0"/>
          <w:numId w:val="2"/>
        </w:numPr>
        <w:spacing w:after="60" w:before="60"/>
      </w:pPr>
      <w:r>
        <w:rPr>
          <w:rFonts w:ascii="Arial" w:cs="Arial" w:eastAsia="Arial" w:hAnsi="Arial"/>
          <w:color w:val="333333"/>
          <w:sz w:val="22"/>
          <w:szCs w:val="22"/>
        </w:rPr>
        <w:t xml:space="preserve">Limuru III — Limuru corridor</w:t>
      </w:r>
    </w:p>
    <w:p>
      <w:pPr>
        <w:pStyle w:val="ListParagraph"/>
        <w:numPr>
          <w:ilvl w:val="0"/>
          <w:numId w:val="2"/>
        </w:numPr>
        <w:spacing w:after="60" w:before="60"/>
      </w:pPr>
      <w:r>
        <w:rPr>
          <w:rFonts w:ascii="Arial" w:cs="Arial" w:eastAsia="Arial" w:hAnsi="Arial"/>
          <w:color w:val="333333"/>
          <w:sz w:val="22"/>
          <w:szCs w:val="22"/>
        </w:rPr>
        <w:t xml:space="preserve">Konza City View — Konza Technology City corridor</w:t>
      </w:r>
    </w:p>
    <w:p>
      <w:pPr>
        <w:spacing w:after="80" w:before="80"/>
      </w:pPr>
      <w:r>
        <w:t xml:space="preserve"/>
      </w:r>
    </w:p>
    <w:p>
      <w:pPr>
        <w:pStyle w:val="Heading2"/>
        <w:spacing w:after="120" w:before="240"/>
      </w:pPr>
      <w:r>
        <w:rPr>
          <w:rFonts w:ascii="Arial" w:cs="Arial" w:eastAsia="Arial" w:hAnsi="Arial"/>
          <w:b/>
          <w:bCs/>
          <w:color w:val="0D6E6E"/>
          <w:sz w:val="26"/>
          <w:szCs w:val="26"/>
        </w:rPr>
        <w:t xml:space="preserve">Current Technology &amp; Systems State</w:t>
      </w:r>
    </w:p>
    <w:p>
      <w:pPr>
        <w:pStyle w:val="ListParagraph"/>
        <w:numPr>
          <w:ilvl w:val="0"/>
          <w:numId w:val="2"/>
        </w:numPr>
        <w:spacing w:after="60" w:before="60"/>
      </w:pPr>
      <w:r>
        <w:rPr>
          <w:rFonts w:ascii="Arial" w:cs="Arial" w:eastAsia="Arial" w:hAnsi="Arial"/>
          <w:color w:val="333333"/>
          <w:sz w:val="22"/>
          <w:szCs w:val="22"/>
        </w:rPr>
        <w:t xml:space="preserve">CRM: None in use</w:t>
      </w:r>
    </w:p>
    <w:p>
      <w:pPr>
        <w:pStyle w:val="ListParagraph"/>
        <w:numPr>
          <w:ilvl w:val="0"/>
          <w:numId w:val="2"/>
        </w:numPr>
        <w:spacing w:after="60" w:before="60"/>
      </w:pPr>
      <w:r>
        <w:rPr>
          <w:rFonts w:ascii="Arial" w:cs="Arial" w:eastAsia="Arial" w:hAnsi="Arial"/>
          <w:color w:val="333333"/>
          <w:sz w:val="22"/>
          <w:szCs w:val="22"/>
        </w:rPr>
        <w:t xml:space="preserve">Sales process: Relationship-driven, undocumented</w:t>
      </w:r>
    </w:p>
    <w:p>
      <w:pPr>
        <w:pStyle w:val="ListParagraph"/>
        <w:numPr>
          <w:ilvl w:val="0"/>
          <w:numId w:val="2"/>
        </w:numPr>
        <w:spacing w:after="60" w:before="60"/>
      </w:pPr>
      <w:r>
        <w:rPr>
          <w:rFonts w:ascii="Arial" w:cs="Arial" w:eastAsia="Arial" w:hAnsi="Arial"/>
          <w:color w:val="333333"/>
          <w:sz w:val="22"/>
          <w:szCs w:val="22"/>
        </w:rPr>
        <w:t xml:space="preserve">Lead capture: Manual (WhatsApp, phone, walk-in)</w:t>
      </w:r>
    </w:p>
    <w:p>
      <w:pPr>
        <w:pStyle w:val="ListParagraph"/>
        <w:numPr>
          <w:ilvl w:val="0"/>
          <w:numId w:val="2"/>
        </w:numPr>
        <w:spacing w:after="60" w:before="60"/>
      </w:pPr>
      <w:r>
        <w:rPr>
          <w:rFonts w:ascii="Arial" w:cs="Arial" w:eastAsia="Arial" w:hAnsi="Arial"/>
          <w:color w:val="333333"/>
          <w:sz w:val="22"/>
          <w:szCs w:val="22"/>
        </w:rPr>
        <w:t xml:space="preserve">Pipeline tracking: None</w:t>
      </w:r>
    </w:p>
    <w:p>
      <w:pPr>
        <w:pStyle w:val="ListParagraph"/>
        <w:numPr>
          <w:ilvl w:val="0"/>
          <w:numId w:val="2"/>
        </w:numPr>
        <w:spacing w:after="60" w:before="60"/>
      </w:pPr>
      <w:r>
        <w:rPr>
          <w:rFonts w:ascii="Arial" w:cs="Arial" w:eastAsia="Arial" w:hAnsi="Arial"/>
          <w:color w:val="333333"/>
          <w:sz w:val="22"/>
          <w:szCs w:val="22"/>
        </w:rPr>
        <w:t xml:space="preserve">Marketing: No active programme; blog page returns 404 error</w:t>
      </w:r>
    </w:p>
    <w:p>
      <w:pPr>
        <w:pStyle w:val="ListParagraph"/>
        <w:numPr>
          <w:ilvl w:val="0"/>
          <w:numId w:val="2"/>
        </w:numPr>
        <w:spacing w:after="60" w:before="60"/>
      </w:pPr>
      <w:r>
        <w:rPr>
          <w:rFonts w:ascii="Arial" w:cs="Arial" w:eastAsia="Arial" w:hAnsi="Arial"/>
          <w:color w:val="333333"/>
          <w:sz w:val="22"/>
          <w:szCs w:val="22"/>
        </w:rPr>
        <w:t xml:space="preserve">Digital presence: 188 LinkedIn followers (April 2026)</w:t>
      </w:r>
    </w:p>
    <w:p>
      <w:pPr>
        <w:pStyle w:val="ListParagraph"/>
        <w:numPr>
          <w:ilvl w:val="0"/>
          <w:numId w:val="2"/>
        </w:numPr>
        <w:spacing w:after="60" w:before="60"/>
      </w:pPr>
      <w:r>
        <w:rPr>
          <w:rFonts w:ascii="Arial" w:cs="Arial" w:eastAsia="Arial" w:hAnsi="Arial"/>
          <w:color w:val="333333"/>
          <w:sz w:val="22"/>
          <w:szCs w:val="22"/>
        </w:rPr>
        <w:t xml:space="preserve">Diaspora acquisition: No structured digital funnel</w:t>
      </w:r>
    </w:p>
    <w:p>
      <w:r>
        <w:br w:type="page"/>
      </w:r>
    </w:p>
    <w:p>
      <w:pPr>
        <w:spacing w:after="80" w:before="360"/>
      </w:pPr>
      <w:r>
        <w:rPr>
          <w:rFonts w:ascii="Arial" w:cs="Arial" w:eastAsia="Arial" w:hAnsi="Arial"/>
          <w:b/>
          <w:bCs/>
          <w:color w:val="0D6E6E"/>
          <w:sz w:val="18"/>
          <w:szCs w:val="18"/>
        </w:rPr>
        <w:t xml:space="preserve">SECTION 03</w:t>
      </w:r>
    </w:p>
    <w:p>
      <w:pPr>
        <w:pStyle w:val="Heading1"/>
        <w:spacing w:after="160" w:before="120"/>
      </w:pPr>
      <w:r>
        <w:rPr>
          <w:rFonts w:ascii="Arial" w:cs="Arial" w:eastAsia="Arial" w:hAnsi="Arial"/>
          <w:b/>
          <w:bCs/>
          <w:color w:val="1B2A4A"/>
          <w:sz w:val="36"/>
          <w:szCs w:val="36"/>
        </w:rPr>
        <w:t xml:space="preserve">Revenue Architecture Diagnostic</w:t>
      </w:r>
    </w:p>
    <w:p>
      <w:pPr>
        <w:spacing w:after="100" w:before="80"/>
        <w:jc w:val="left"/>
      </w:pPr>
      <w:r>
        <w:rPr>
          <w:rFonts w:ascii="Arial" w:cs="Arial" w:eastAsia="Arial" w:hAnsi="Arial"/>
          <w:b w:val="false"/>
          <w:bCs w:val="false"/>
          <w:i w:val="false"/>
          <w:iCs w:val="false"/>
          <w:color w:val="333333"/>
          <w:sz w:val="22"/>
          <w:szCs w:val="22"/>
        </w:rPr>
        <w:t xml:space="preserve">The following diagnostic applies the SPICED framework — a structured revenue qualification and diagnostic methodology — to PRL's current commercial environment. The purpose is to establish a precise, honest picture of where the firm stands today and what is operationally at stake.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7360"/>
      </w:tblGrid>
      <w:tr>
        <w:tc>
          <w:tcPr>
            <w:tcBorders>
              <w:top w:val="none" w:color="FFFFFF" w:sz="0"/>
              <w:left w:val="none" w:color="FFFFFF" w:sz="0"/>
              <w:bottom w:val="none" w:color="FFFFFF" w:sz="0"/>
              <w:right w:val="none" w:color="FFFFFF" w:sz="0"/>
            </w:tcBorders>
            <w:shd w:fill="1B2A4A" w:val="clear"/>
            <w:tcMar>
              <w:top w:type="dxa" w:w="100"/>
              <w:left w:type="dxa" w:w="180"/>
              <w:bottom w:type="dxa" w:w="100"/>
              <w:right w:type="dxa" w:w="100"/>
            </w:tcMar>
          </w:tcPr>
          <w:p>
            <w:r>
              <w:rPr>
                <w:rFonts w:ascii="Arial" w:cs="Arial" w:eastAsia="Arial" w:hAnsi="Arial"/>
                <w:b/>
                <w:bCs/>
                <w:color w:val="C9A84C"/>
                <w:sz w:val="18"/>
                <w:szCs w:val="18"/>
              </w:rPr>
              <w:t xml:space="preserve">#</w:t>
            </w:r>
          </w:p>
        </w:tc>
        <w:tc>
          <w:tcPr>
            <w:tcBorders>
              <w:top w:val="none" w:color="FFFFFF" w:sz="0"/>
              <w:left w:val="none" w:color="FFFFFF" w:sz="0"/>
              <w:bottom w:val="none" w:color="FFFFFF" w:sz="0"/>
              <w:right w:val="none" w:color="FFFFFF" w:sz="0"/>
            </w:tcBorders>
            <w:shd w:fill="1B2A4A" w:val="clear"/>
            <w:tcMar>
              <w:top w:type="dxa" w:w="100"/>
              <w:left w:type="dxa" w:w="100"/>
              <w:bottom w:type="dxa" w:w="100"/>
              <w:right w:type="dxa" w:w="100"/>
            </w:tcMar>
          </w:tcPr>
          <w:p>
            <w:r>
              <w:rPr>
                <w:rFonts w:ascii="Arial" w:cs="Arial" w:eastAsia="Arial" w:hAnsi="Arial"/>
                <w:b/>
                <w:bCs/>
                <w:color w:val="C9A84C"/>
                <w:sz w:val="18"/>
                <w:szCs w:val="18"/>
              </w:rPr>
              <w:t xml:space="preserve">DIMENSION</w:t>
            </w:r>
          </w:p>
        </w:tc>
        <w:tc>
          <w:tcPr>
            <w:tcBorders>
              <w:top w:val="none" w:color="FFFFFF" w:sz="0"/>
              <w:left w:val="none" w:color="FFFFFF" w:sz="0"/>
              <w:bottom w:val="none" w:color="FFFFFF" w:sz="0"/>
              <w:right w:val="none" w:color="FFFFFF" w:sz="0"/>
            </w:tcBorders>
            <w:shd w:fill="1B2A4A" w:val="clear"/>
            <w:tcMar>
              <w:top w:type="dxa" w:w="100"/>
              <w:left w:type="dxa" w:w="200"/>
              <w:bottom w:type="dxa" w:w="100"/>
              <w:right w:type="dxa" w:w="100"/>
            </w:tcMar>
          </w:tcPr>
          <w:p>
            <w:r>
              <w:rPr>
                <w:rFonts w:ascii="Arial" w:cs="Arial" w:eastAsia="Arial" w:hAnsi="Arial"/>
                <w:b/>
                <w:bCs/>
                <w:color w:val="C9A84C"/>
                <w:sz w:val="18"/>
                <w:szCs w:val="18"/>
              </w:rPr>
              <w:t xml:space="preserve">DIAGNOSTIC FINDING</w:t>
            </w:r>
          </w:p>
        </w:tc>
      </w:tr>
      <w:tr>
        <w:tc>
          <w:tcPr>
            <w:tcBorders>
              <w:top w:val="single" w:color="CCCCCC" w:sz="1"/>
              <w:left w:val="single" w:color="CCCCCC" w:sz="1"/>
              <w:bottom w:val="single" w:color="CCCCCC" w:sz="1"/>
              <w:right w:val="single" w:color="CCCCCC" w:sz="1"/>
            </w:tcBorders>
            <w:shd w:fill="0D6E6E" w:val="clear"/>
            <w:tcMar>
              <w:top w:type="dxa" w:w="120"/>
              <w:left w:type="dxa" w:w="180"/>
              <w:bottom w:type="dxa" w:w="120"/>
              <w:right w:type="dxa" w:w="100"/>
            </w:tcMar>
            <w:vAlign w:val="top"/>
          </w:tcPr>
          <w:p>
            <w:r>
              <w:rPr>
                <w:rFonts w:ascii="Arial" w:cs="Arial" w:eastAsia="Arial" w:hAnsi="Arial"/>
                <w:b/>
                <w:bCs/>
                <w:color w:val="FFFFFF"/>
                <w:sz w:val="24"/>
                <w:szCs w:val="24"/>
              </w:rPr>
              <w:t xml:space="preserve">S</w:t>
            </w:r>
          </w:p>
        </w:tc>
        <w:tc>
          <w:tcPr>
            <w:tcBorders>
              <w:top w:val="single" w:color="CCCCCC" w:sz="1"/>
              <w:left w:val="single" w:color="CCCCCC" w:sz="1"/>
              <w:bottom w:val="single" w:color="CCCCCC" w:sz="1"/>
              <w:right w:val="single" w:color="CCCCCC" w:sz="1"/>
            </w:tcBorders>
            <w:shd w:fill="F5F8FB" w:val="clear"/>
            <w:tcMar>
              <w:top w:type="dxa" w:w="120"/>
              <w:left w:type="dxa" w:w="100"/>
              <w:bottom w:type="dxa" w:w="120"/>
              <w:right w:type="dxa" w:w="100"/>
            </w:tcMar>
            <w:vAlign w:val="top"/>
          </w:tcPr>
          <w:p>
            <w:r>
              <w:rPr>
                <w:rFonts w:ascii="Arial" w:cs="Arial" w:eastAsia="Arial" w:hAnsi="Arial"/>
                <w:b/>
                <w:bCs/>
                <w:color w:val="1B2A4A"/>
                <w:sz w:val="20"/>
                <w:szCs w:val="20"/>
              </w:rPr>
              <w:t xml:space="preserve">Situation</w:t>
            </w:r>
          </w:p>
        </w:tc>
        <w:tc>
          <w:tcPr>
            <w:tcBorders>
              <w:top w:val="single" w:color="CCCCCC" w:sz="1"/>
              <w:left w:val="single" w:color="CCCCCC" w:sz="1"/>
              <w:bottom w:val="single" w:color="CCCCCC" w:sz="1"/>
              <w:right w:val="single" w:color="CCCCCC" w:sz="1"/>
            </w:tcBorders>
            <w:shd w:fill="F5F8FB" w:val="clear"/>
            <w:tcMar>
              <w:top w:type="dxa" w:w="120"/>
              <w:left w:type="dxa" w:w="200"/>
              <w:bottom w:type="dxa" w:w="120"/>
              <w:right w:type="dxa" w:w="120"/>
            </w:tcMar>
          </w:tcPr>
          <w:p>
            <w:r>
              <w:rPr>
                <w:rFonts w:ascii="Arial" w:cs="Arial" w:eastAsia="Arial" w:hAnsi="Arial"/>
                <w:color w:val="333333"/>
                <w:sz w:val="20"/>
                <w:szCs w:val="20"/>
              </w:rPr>
              <w:t xml:space="preserve">Premier Realty Limited is an 18-person, 20-year-old full-service real estate firm headquartered in Westlands, Nairobi. The firm maintains active land development projects across 5 growth corridors, manages 200+ rental and sale listings, and serves individual buyers, diaspora investors, corporates, embassies, and NGOs. PRL is currently ranked #27 in Kenya land sales (Gazebo Homes, 2026). The firm operates without a formal CRM, a structured sales process, or a documented lead lifecycle.</w:t>
            </w:r>
          </w:p>
        </w:tc>
      </w:tr>
      <w:tr>
        <w:tc>
          <w:tcPr>
            <w:tcBorders>
              <w:top w:val="single" w:color="CCCCCC" w:sz="1"/>
              <w:left w:val="single" w:color="CCCCCC" w:sz="1"/>
              <w:bottom w:val="single" w:color="CCCCCC" w:sz="1"/>
              <w:right w:val="single" w:color="CCCCCC" w:sz="1"/>
            </w:tcBorders>
            <w:shd w:fill="0D6E6E" w:val="clear"/>
            <w:tcMar>
              <w:top w:type="dxa" w:w="120"/>
              <w:left w:type="dxa" w:w="180"/>
              <w:bottom w:type="dxa" w:w="120"/>
              <w:right w:type="dxa" w:w="100"/>
            </w:tcMar>
            <w:vAlign w:val="top"/>
          </w:tcPr>
          <w:p>
            <w:r>
              <w:rPr>
                <w:rFonts w:ascii="Arial" w:cs="Arial" w:eastAsia="Arial" w:hAnsi="Arial"/>
                <w:b/>
                <w:bCs/>
                <w:color w:val="FFFFFF"/>
                <w:sz w:val="24"/>
                <w:szCs w:val="24"/>
              </w:rPr>
              <w:t xml:space="preserve">P</w:t>
            </w:r>
          </w:p>
        </w:tc>
        <w:tc>
          <w:tcPr>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vAlign w:val="top"/>
          </w:tcPr>
          <w:p>
            <w:r>
              <w:rPr>
                <w:rFonts w:ascii="Arial" w:cs="Arial" w:eastAsia="Arial" w:hAnsi="Arial"/>
                <w:b/>
                <w:bCs/>
                <w:color w:val="1B2A4A"/>
                <w:sz w:val="20"/>
                <w:szCs w:val="20"/>
              </w:rPr>
              <w:t xml:space="preserve">Pain</w:t>
            </w:r>
          </w:p>
        </w:tc>
        <w:tc>
          <w:tcPr>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20"/>
            </w:tcMar>
          </w:tcPr>
          <w:p>
            <w:r>
              <w:rPr>
                <w:rFonts w:ascii="Arial" w:cs="Arial" w:eastAsia="Arial" w:hAnsi="Arial"/>
                <w:color w:val="333333"/>
                <w:sz w:val="20"/>
                <w:szCs w:val="20"/>
              </w:rPr>
              <w:t xml:space="preserve">Revenue is generated from effort and relationships — not from a designed system. There is no pipeline visibility, no lead scoring, no documented qualification process, and no structured follow-up protocol. Digital presence is severely underdeveloped for a 20-year firm: 188 LinkedIn followers, broken website pages, and no content marketing. The diaspora segment — the industry's highest-value buyer group — has no dedicated acquisition funnel. Sales activity cannot be measured, forecast, or optimised.</w:t>
            </w:r>
          </w:p>
        </w:tc>
      </w:tr>
      <w:tr>
        <w:tc>
          <w:tcPr>
            <w:tcBorders>
              <w:top w:val="single" w:color="CCCCCC" w:sz="1"/>
              <w:left w:val="single" w:color="CCCCCC" w:sz="1"/>
              <w:bottom w:val="single" w:color="CCCCCC" w:sz="1"/>
              <w:right w:val="single" w:color="CCCCCC" w:sz="1"/>
            </w:tcBorders>
            <w:shd w:fill="0D6E6E" w:val="clear"/>
            <w:tcMar>
              <w:top w:type="dxa" w:w="120"/>
              <w:left w:type="dxa" w:w="180"/>
              <w:bottom w:type="dxa" w:w="120"/>
              <w:right w:type="dxa" w:w="100"/>
            </w:tcMar>
            <w:vAlign w:val="top"/>
          </w:tcPr>
          <w:p>
            <w:r>
              <w:rPr>
                <w:rFonts w:ascii="Arial" w:cs="Arial" w:eastAsia="Arial" w:hAnsi="Arial"/>
                <w:b/>
                <w:bCs/>
                <w:color w:val="FFFFFF"/>
                <w:sz w:val="24"/>
                <w:szCs w:val="24"/>
              </w:rPr>
              <w:t xml:space="preserve">I</w:t>
            </w:r>
          </w:p>
        </w:tc>
        <w:tc>
          <w:tcPr>
            <w:tcBorders>
              <w:top w:val="single" w:color="CCCCCC" w:sz="1"/>
              <w:left w:val="single" w:color="CCCCCC" w:sz="1"/>
              <w:bottom w:val="single" w:color="CCCCCC" w:sz="1"/>
              <w:right w:val="single" w:color="CCCCCC" w:sz="1"/>
            </w:tcBorders>
            <w:shd w:fill="F5F8FB" w:val="clear"/>
            <w:tcMar>
              <w:top w:type="dxa" w:w="120"/>
              <w:left w:type="dxa" w:w="100"/>
              <w:bottom w:type="dxa" w:w="120"/>
              <w:right w:type="dxa" w:w="100"/>
            </w:tcMar>
            <w:vAlign w:val="top"/>
          </w:tcPr>
          <w:p>
            <w:r>
              <w:rPr>
                <w:rFonts w:ascii="Arial" w:cs="Arial" w:eastAsia="Arial" w:hAnsi="Arial"/>
                <w:b/>
                <w:bCs/>
                <w:color w:val="1B2A4A"/>
                <w:sz w:val="20"/>
                <w:szCs w:val="20"/>
              </w:rPr>
              <w:t xml:space="preserve">Impact</w:t>
            </w:r>
          </w:p>
        </w:tc>
        <w:tc>
          <w:tcPr>
            <w:tcBorders>
              <w:top w:val="single" w:color="CCCCCC" w:sz="1"/>
              <w:left w:val="single" w:color="CCCCCC" w:sz="1"/>
              <w:bottom w:val="single" w:color="CCCCCC" w:sz="1"/>
              <w:right w:val="single" w:color="CCCCCC" w:sz="1"/>
            </w:tcBorders>
            <w:shd w:fill="F5F8FB" w:val="clear"/>
            <w:tcMar>
              <w:top w:type="dxa" w:w="120"/>
              <w:left w:type="dxa" w:w="200"/>
              <w:bottom w:type="dxa" w:w="120"/>
              <w:right w:type="dxa" w:w="120"/>
            </w:tcMar>
          </w:tcPr>
          <w:p>
            <w:r>
              <w:rPr>
                <w:rFonts w:ascii="Arial" w:cs="Arial" w:eastAsia="Arial" w:hAnsi="Arial"/>
                <w:color w:val="333333"/>
                <w:sz w:val="20"/>
                <w:szCs w:val="20"/>
              </w:rPr>
              <w:t xml:space="preserve">Without a revenue system in place, high-value leads leak before conversion. The diaspora segment is left to competitors with stronger digital infrastructure. Sales performance is unpredictable and unforecastable. The firm cannot scale beyond its current headcount ceiling. Marketing spend, when it occurs, generates no attributable ROI. Unstructured diaspora lead handling alone represents a conservatively estimated KES 10M–50M+ in missed annual revenue at current Kenya land sale averages.</w:t>
            </w:r>
          </w:p>
        </w:tc>
      </w:tr>
      <w:tr>
        <w:tc>
          <w:tcPr>
            <w:tcBorders>
              <w:top w:val="single" w:color="CCCCCC" w:sz="1"/>
              <w:left w:val="single" w:color="CCCCCC" w:sz="1"/>
              <w:bottom w:val="single" w:color="CCCCCC" w:sz="1"/>
              <w:right w:val="single" w:color="CCCCCC" w:sz="1"/>
            </w:tcBorders>
            <w:shd w:fill="0D6E6E" w:val="clear"/>
            <w:tcMar>
              <w:top w:type="dxa" w:w="120"/>
              <w:left w:type="dxa" w:w="180"/>
              <w:bottom w:type="dxa" w:w="120"/>
              <w:right w:type="dxa" w:w="100"/>
            </w:tcMar>
            <w:vAlign w:val="top"/>
          </w:tcPr>
          <w:p>
            <w:r>
              <w:rPr>
                <w:rFonts w:ascii="Arial" w:cs="Arial" w:eastAsia="Arial" w:hAnsi="Arial"/>
                <w:b/>
                <w:bCs/>
                <w:color w:val="FFFFFF"/>
                <w:sz w:val="24"/>
                <w:szCs w:val="24"/>
              </w:rPr>
              <w:t xml:space="preserve">C</w:t>
            </w:r>
          </w:p>
        </w:tc>
        <w:tc>
          <w:tcPr>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vAlign w:val="top"/>
          </w:tcPr>
          <w:p>
            <w:r>
              <w:rPr>
                <w:rFonts w:ascii="Arial" w:cs="Arial" w:eastAsia="Arial" w:hAnsi="Arial"/>
                <w:b/>
                <w:bCs/>
                <w:color w:val="1B2A4A"/>
                <w:sz w:val="20"/>
                <w:szCs w:val="20"/>
              </w:rPr>
              <w:t xml:space="preserve">Critical Event</w:t>
            </w:r>
          </w:p>
        </w:tc>
        <w:tc>
          <w:tcPr>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20"/>
            </w:tcMar>
          </w:tcPr>
          <w:p>
            <w:r>
              <w:rPr>
                <w:rFonts w:ascii="Arial" w:cs="Arial" w:eastAsia="Arial" w:hAnsi="Arial"/>
                <w:color w:val="333333"/>
                <w:sz w:val="20"/>
                <w:szCs w:val="20"/>
              </w:rPr>
              <w:t xml:space="preserve">Kenya's real estate market is entering a consolidation phase in 2025–2026. Firms with structured digital funnels and CRM infrastructure are pulling away from relationship-only operators. The diaspora buyer segment — 3M+ Kenyans abroad — is being actively targeted by competitors including Optiven, Username Properties, and Finsco Africa with sophisticated digital campaigns. PRL risks further displacement in rankings and loss of mid-market land sales leadership if revenue infrastructure is not built in the near term.</w:t>
            </w:r>
          </w:p>
        </w:tc>
      </w:tr>
      <w:tr>
        <w:tc>
          <w:tcPr>
            <w:tcBorders>
              <w:top w:val="single" w:color="CCCCCC" w:sz="1"/>
              <w:left w:val="single" w:color="CCCCCC" w:sz="1"/>
              <w:bottom w:val="single" w:color="CCCCCC" w:sz="1"/>
              <w:right w:val="single" w:color="CCCCCC" w:sz="1"/>
            </w:tcBorders>
            <w:shd w:fill="0D6E6E" w:val="clear"/>
            <w:tcMar>
              <w:top w:type="dxa" w:w="120"/>
              <w:left w:type="dxa" w:w="180"/>
              <w:bottom w:type="dxa" w:w="120"/>
              <w:right w:type="dxa" w:w="100"/>
            </w:tcMar>
            <w:vAlign w:val="top"/>
          </w:tcPr>
          <w:p>
            <w:r>
              <w:rPr>
                <w:rFonts w:ascii="Arial" w:cs="Arial" w:eastAsia="Arial" w:hAnsi="Arial"/>
                <w:b/>
                <w:bCs/>
                <w:color w:val="FFFFFF"/>
                <w:sz w:val="24"/>
                <w:szCs w:val="24"/>
              </w:rPr>
              <w:t xml:space="preserve">E</w:t>
            </w:r>
          </w:p>
        </w:tc>
        <w:tc>
          <w:tcPr>
            <w:tcBorders>
              <w:top w:val="single" w:color="CCCCCC" w:sz="1"/>
              <w:left w:val="single" w:color="CCCCCC" w:sz="1"/>
              <w:bottom w:val="single" w:color="CCCCCC" w:sz="1"/>
              <w:right w:val="single" w:color="CCCCCC" w:sz="1"/>
            </w:tcBorders>
            <w:shd w:fill="F5F8FB" w:val="clear"/>
            <w:tcMar>
              <w:top w:type="dxa" w:w="120"/>
              <w:left w:type="dxa" w:w="100"/>
              <w:bottom w:type="dxa" w:w="120"/>
              <w:right w:type="dxa" w:w="100"/>
            </w:tcMar>
            <w:vAlign w:val="top"/>
          </w:tcPr>
          <w:p>
            <w:r>
              <w:rPr>
                <w:rFonts w:ascii="Arial" w:cs="Arial" w:eastAsia="Arial" w:hAnsi="Arial"/>
                <w:b/>
                <w:bCs/>
                <w:color w:val="1B2A4A"/>
                <w:sz w:val="20"/>
                <w:szCs w:val="20"/>
              </w:rPr>
              <w:t xml:space="preserve">Expansion</w:t>
            </w:r>
          </w:p>
        </w:tc>
        <w:tc>
          <w:tcPr>
            <w:tcBorders>
              <w:top w:val="single" w:color="CCCCCC" w:sz="1"/>
              <w:left w:val="single" w:color="CCCCCC" w:sz="1"/>
              <w:bottom w:val="single" w:color="CCCCCC" w:sz="1"/>
              <w:right w:val="single" w:color="CCCCCC" w:sz="1"/>
            </w:tcBorders>
            <w:shd w:fill="F5F8FB" w:val="clear"/>
            <w:tcMar>
              <w:top w:type="dxa" w:w="120"/>
              <w:left w:type="dxa" w:w="200"/>
              <w:bottom w:type="dxa" w:w="120"/>
              <w:right w:type="dxa" w:w="120"/>
            </w:tcMar>
          </w:tcPr>
          <w:p>
            <w:r>
              <w:rPr>
                <w:rFonts w:ascii="Arial" w:cs="Arial" w:eastAsia="Arial" w:hAnsi="Arial"/>
                <w:color w:val="333333"/>
                <w:sz w:val="20"/>
                <w:szCs w:val="20"/>
              </w:rPr>
              <w:t xml:space="preserve">PRL's existing service breadth — land sales, property management, corporate rentals, diaspora offerings — represents a significant cross-sell and upsell opportunity that is currently unstructured. A functioning revenue architecture would activate these dormant revenue lines without additional headcount.</w:t>
            </w:r>
          </w:p>
        </w:tc>
      </w:tr>
      <w:tr>
        <w:tc>
          <w:tcPr>
            <w:tcBorders>
              <w:top w:val="single" w:color="CCCCCC" w:sz="1"/>
              <w:left w:val="single" w:color="CCCCCC" w:sz="1"/>
              <w:bottom w:val="single" w:color="CCCCCC" w:sz="1"/>
              <w:right w:val="single" w:color="CCCCCC" w:sz="1"/>
            </w:tcBorders>
            <w:shd w:fill="0D6E6E" w:val="clear"/>
            <w:tcMar>
              <w:top w:type="dxa" w:w="120"/>
              <w:left w:type="dxa" w:w="180"/>
              <w:bottom w:type="dxa" w:w="120"/>
              <w:right w:type="dxa" w:w="100"/>
            </w:tcMar>
            <w:vAlign w:val="top"/>
          </w:tcPr>
          <w:p>
            <w:r>
              <w:rPr>
                <w:rFonts w:ascii="Arial" w:cs="Arial" w:eastAsia="Arial" w:hAnsi="Arial"/>
                <w:b/>
                <w:bCs/>
                <w:color w:val="FFFFFF"/>
                <w:sz w:val="24"/>
                <w:szCs w:val="24"/>
              </w:rPr>
              <w:t xml:space="preserve">D</w:t>
            </w:r>
          </w:p>
        </w:tc>
        <w:tc>
          <w:tcPr>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vAlign w:val="top"/>
          </w:tcPr>
          <w:p>
            <w:r>
              <w:rPr>
                <w:rFonts w:ascii="Arial" w:cs="Arial" w:eastAsia="Arial" w:hAnsi="Arial"/>
                <w:b/>
                <w:bCs/>
                <w:color w:val="1B2A4A"/>
                <w:sz w:val="20"/>
                <w:szCs w:val="20"/>
              </w:rPr>
              <w:t xml:space="preserve">Decision</w:t>
            </w:r>
          </w:p>
        </w:tc>
        <w:tc>
          <w:tcPr>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20"/>
            </w:tcMar>
          </w:tcPr>
          <w:p>
            <w:r>
              <w:rPr>
                <w:rFonts w:ascii="Arial" w:cs="Arial" w:eastAsia="Arial" w:hAnsi="Arial"/>
                <w:color w:val="333333"/>
                <w:sz w:val="20"/>
                <w:szCs w:val="20"/>
              </w:rPr>
              <w:t xml:space="preserve">The primary decision-maker for revenue infrastructure investment is the Founder and Managing Director. Key decision criteria identified: demonstrable ROI by Q3 2026, measurable KPI improvement, full knowledge transfer to the internal team, and avoidance of long-term vendor lock-in.</w:t>
            </w:r>
          </w:p>
        </w:tc>
      </w:tr>
    </w:tbl>
    <w:p>
      <w:r>
        <w:br w:type="page"/>
      </w:r>
    </w:p>
    <w:p>
      <w:pPr>
        <w:spacing w:after="80" w:before="360"/>
      </w:pPr>
      <w:r>
        <w:rPr>
          <w:rFonts w:ascii="Arial" w:cs="Arial" w:eastAsia="Arial" w:hAnsi="Arial"/>
          <w:b/>
          <w:bCs/>
          <w:color w:val="0D6E6E"/>
          <w:sz w:val="18"/>
          <w:szCs w:val="18"/>
        </w:rPr>
        <w:t xml:space="preserve">SECTION 04</w:t>
      </w:r>
    </w:p>
    <w:p>
      <w:pPr>
        <w:pStyle w:val="Heading1"/>
        <w:spacing w:after="160" w:before="120"/>
      </w:pPr>
      <w:r>
        <w:rPr>
          <w:rFonts w:ascii="Arial" w:cs="Arial" w:eastAsia="Arial" w:hAnsi="Arial"/>
          <w:b/>
          <w:bCs/>
          <w:color w:val="1B2A4A"/>
          <w:sz w:val="36"/>
          <w:szCs w:val="36"/>
        </w:rPr>
        <w:t xml:space="preserve">Market Opportunity Assessment</w:t>
      </w:r>
    </w:p>
    <w:p>
      <w:pPr>
        <w:spacing w:after="100" w:before="80"/>
        <w:jc w:val="left"/>
      </w:pPr>
      <w:r>
        <w:rPr>
          <w:rFonts w:ascii="Arial" w:cs="Arial" w:eastAsia="Arial" w:hAnsi="Arial"/>
          <w:b w:val="false"/>
          <w:bCs w:val="false"/>
          <w:i w:val="false"/>
          <w:iCs w:val="false"/>
          <w:color w:val="333333"/>
          <w:sz w:val="22"/>
          <w:szCs w:val="22"/>
        </w:rPr>
        <w:t xml:space="preserve">The capability gaps identified in this analysis are not liabilities in isolation — each represents a specific, quantifiable revenue opportunity. The table below maps each gap to its commercial value, based on current Kenya real estate market data and PRL's known pricing and transaction profile.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none" w:color="FFFFFF" w:sz="0"/>
              <w:left w:val="none" w:color="FFFFFF" w:sz="0"/>
              <w:bottom w:val="none" w:color="FFFFFF" w:sz="0"/>
              <w:right w:val="none" w:color="FFFFFF" w:sz="0"/>
            </w:tcBorders>
            <w:shd w:fill="1B2A4A" w:val="clear"/>
            <w:tcMar>
              <w:top w:type="dxa" w:w="100"/>
              <w:left w:type="dxa" w:w="160"/>
              <w:bottom w:type="dxa" w:w="100"/>
              <w:right w:type="dxa" w:w="100"/>
            </w:tcMar>
          </w:tcPr>
          <w:p>
            <w:r>
              <w:rPr>
                <w:rFonts w:ascii="Arial" w:cs="Arial" w:eastAsia="Arial" w:hAnsi="Arial"/>
                <w:b/>
                <w:bCs/>
                <w:color w:val="C9A84C"/>
                <w:sz w:val="18"/>
                <w:szCs w:val="18"/>
              </w:rPr>
              <w:t xml:space="preserve">REVENUE OPPORTUNITY</w:t>
            </w:r>
          </w:p>
        </w:tc>
        <w:tc>
          <w:tcPr>
            <w:tcW w:type="dxa" w:w="3680"/>
            <w:tcBorders>
              <w:top w:val="none" w:color="FFFFFF" w:sz="0"/>
              <w:left w:val="none" w:color="FFFFFF" w:sz="0"/>
              <w:bottom w:val="none" w:color="FFFFFF" w:sz="0"/>
              <w:right w:val="none" w:color="FFFFFF" w:sz="0"/>
            </w:tcBorders>
            <w:shd w:fill="1B2A4A" w:val="clear"/>
            <w:tcMar>
              <w:top w:type="dxa" w:w="100"/>
              <w:left w:type="dxa" w:w="160"/>
              <w:bottom w:type="dxa" w:w="100"/>
              <w:right w:type="dxa" w:w="100"/>
            </w:tcMar>
          </w:tcPr>
          <w:p>
            <w:r>
              <w:rPr>
                <w:rFonts w:ascii="Arial" w:cs="Arial" w:eastAsia="Arial" w:hAnsi="Arial"/>
                <w:b/>
                <w:bCs/>
                <w:color w:val="C9A84C"/>
                <w:sz w:val="18"/>
                <w:szCs w:val="18"/>
              </w:rPr>
              <w:t xml:space="preserve">CURRENT GAP</w:t>
            </w:r>
          </w:p>
        </w:tc>
        <w:tc>
          <w:tcPr>
            <w:tcW w:type="dxa" w:w="3480"/>
            <w:tcBorders>
              <w:top w:val="none" w:color="FFFFFF" w:sz="0"/>
              <w:left w:val="none" w:color="FFFFFF" w:sz="0"/>
              <w:bottom w:val="none" w:color="FFFFFF" w:sz="0"/>
              <w:right w:val="none" w:color="FFFFFF" w:sz="0"/>
            </w:tcBorders>
            <w:shd w:fill="1B2A4A" w:val="clear"/>
            <w:tcMar>
              <w:top w:type="dxa" w:w="100"/>
              <w:left w:type="dxa" w:w="160"/>
              <w:bottom w:type="dxa" w:w="100"/>
              <w:right w:type="dxa" w:w="100"/>
            </w:tcMar>
          </w:tcPr>
          <w:p>
            <w:r>
              <w:rPr>
                <w:rFonts w:ascii="Arial" w:cs="Arial" w:eastAsia="Arial" w:hAnsi="Arial"/>
                <w:b/>
                <w:bCs/>
                <w:color w:val="C9A84C"/>
                <w:sz w:val="18"/>
                <w:szCs w:val="18"/>
              </w:rPr>
              <w:t xml:space="preserve">ESTIMATED VALUE</w:t>
            </w:r>
          </w:p>
        </w:tc>
      </w:tr>
      <w:tr>
        <w:tc>
          <w:tcPr>
            <w:tcW w:type="dxa" w:w="220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00"/>
            </w:tcMar>
            <w:vAlign w:val="top"/>
          </w:tcPr>
          <w:p>
            <w:r>
              <w:rPr>
                <w:rFonts w:ascii="Arial" w:cs="Arial" w:eastAsia="Arial" w:hAnsi="Arial"/>
                <w:b/>
                <w:bCs/>
                <w:color w:val="0D6E6E"/>
                <w:sz w:val="20"/>
                <w:szCs w:val="20"/>
              </w:rPr>
              <w:t xml:space="preserve">Diaspora Land Sales</w:t>
            </w:r>
          </w:p>
        </w:tc>
        <w:tc>
          <w:tcPr>
            <w:tcW w:type="dxa" w:w="368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00"/>
            </w:tcMar>
          </w:tcPr>
          <w:p>
            <w:r>
              <w:rPr>
                <w:rFonts w:ascii="Arial" w:cs="Arial" w:eastAsia="Arial" w:hAnsi="Arial"/>
                <w:color w:val="333333"/>
                <w:sz w:val="20"/>
                <w:szCs w:val="20"/>
              </w:rPr>
              <w:t xml:space="preserve">No digital funnel exists. Competitors are actively running diaspora campaigns via Meta, YouTube, and WhatsApp webinars.</w:t>
            </w:r>
          </w:p>
        </w:tc>
        <w:tc>
          <w:tcPr>
            <w:tcW w:type="dxa" w:w="3480"/>
            <w:tcBorders>
              <w:top w:val="single" w:color="CCCCCC" w:sz="1"/>
              <w:left w:val="single" w:color="CCCCCC" w:sz="1"/>
              <w:bottom w:val="single" w:color="CCCCCC" w:sz="1"/>
              <w:right w:val="single" w:color="CCCCCC" w:sz="1"/>
            </w:tcBorders>
            <w:shd w:fill="F0F7F4" w:val="clear"/>
            <w:tcMar>
              <w:top w:type="dxa" w:w="120"/>
              <w:left w:type="dxa" w:w="160"/>
              <w:bottom w:type="dxa" w:w="120"/>
              <w:right w:type="dxa" w:w="100"/>
            </w:tcMar>
          </w:tcPr>
          <w:p>
            <w:r>
              <w:rPr>
                <w:rFonts w:ascii="Arial" w:cs="Arial" w:eastAsia="Arial" w:hAnsi="Arial"/>
                <w:b/>
                <w:bCs/>
                <w:color w:val="1A5C3A"/>
                <w:sz w:val="20"/>
                <w:szCs w:val="20"/>
              </w:rPr>
              <w:t xml:space="preserve">1 incremental diaspora sale/month at KES 3M average = KES 36M in additional annual revenue potential</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00"/>
            </w:tcMar>
            <w:vAlign w:val="top"/>
          </w:tcPr>
          <w:p>
            <w:r>
              <w:rPr>
                <w:rFonts w:ascii="Arial" w:cs="Arial" w:eastAsia="Arial" w:hAnsi="Arial"/>
                <w:b/>
                <w:bCs/>
                <w:color w:val="0D6E6E"/>
                <w:sz w:val="20"/>
                <w:szCs w:val="20"/>
              </w:rPr>
              <w:t xml:space="preserve">LinkedIn B2B Pipeline</w:t>
            </w:r>
          </w:p>
        </w:tc>
        <w:tc>
          <w:tcPr>
            <w:tcW w:type="dxa" w:w="36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00"/>
            </w:tcMar>
          </w:tcPr>
          <w:p>
            <w:r>
              <w:rPr>
                <w:rFonts w:ascii="Arial" w:cs="Arial" w:eastAsia="Arial" w:hAnsi="Arial"/>
                <w:color w:val="333333"/>
                <w:sz w:val="20"/>
                <w:szCs w:val="20"/>
              </w:rPr>
              <w:t xml:space="preserve">188 followers after 20 years of operation. Corporate clients, embassies, and NGO procurement officers are LinkedIn-first buyers.</w:t>
            </w:r>
          </w:p>
        </w:tc>
        <w:tc>
          <w:tcPr>
            <w:tcW w:type="dxa" w:w="3480"/>
            <w:tcBorders>
              <w:top w:val="single" w:color="CCCCCC" w:sz="1"/>
              <w:left w:val="single" w:color="CCCCCC" w:sz="1"/>
              <w:bottom w:val="single" w:color="CCCCCC" w:sz="1"/>
              <w:right w:val="single" w:color="CCCCCC" w:sz="1"/>
            </w:tcBorders>
            <w:shd w:fill="F8FFF8" w:val="clear"/>
            <w:tcMar>
              <w:top w:type="dxa" w:w="120"/>
              <w:left w:type="dxa" w:w="160"/>
              <w:bottom w:type="dxa" w:w="120"/>
              <w:right w:type="dxa" w:w="100"/>
            </w:tcMar>
          </w:tcPr>
          <w:p>
            <w:r>
              <w:rPr>
                <w:rFonts w:ascii="Arial" w:cs="Arial" w:eastAsia="Arial" w:hAnsi="Arial"/>
                <w:b/>
                <w:bCs/>
                <w:color w:val="1A5C3A"/>
                <w:sz w:val="20"/>
                <w:szCs w:val="20"/>
              </w:rPr>
              <w:t xml:space="preserve">6–10 qualified B2B leads per quarter reachable via structured LinkedIn authority building</w:t>
            </w:r>
          </w:p>
        </w:tc>
      </w:tr>
      <w:tr>
        <w:tc>
          <w:tcPr>
            <w:tcW w:type="dxa" w:w="220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00"/>
            </w:tcMar>
            <w:vAlign w:val="top"/>
          </w:tcPr>
          <w:p>
            <w:r>
              <w:rPr>
                <w:rFonts w:ascii="Arial" w:cs="Arial" w:eastAsia="Arial" w:hAnsi="Arial"/>
                <w:b/>
                <w:bCs/>
                <w:color w:val="0D6E6E"/>
                <w:sz w:val="20"/>
                <w:szCs w:val="20"/>
              </w:rPr>
              <w:t xml:space="preserve">WhatsApp Lead Conversion</w:t>
            </w:r>
          </w:p>
        </w:tc>
        <w:tc>
          <w:tcPr>
            <w:tcW w:type="dxa" w:w="368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00"/>
            </w:tcMar>
          </w:tcPr>
          <w:p>
            <w:r>
              <w:rPr>
                <w:rFonts w:ascii="Arial" w:cs="Arial" w:eastAsia="Arial" w:hAnsi="Arial"/>
                <w:color w:val="333333"/>
                <w:sz w:val="20"/>
                <w:szCs w:val="20"/>
              </w:rPr>
              <w:t xml:space="preserve">Leads arrive via WhatsApp with no structured follow-up cadence or CRM capture. Estimated lead leak rate: 40–60%.</w:t>
            </w:r>
          </w:p>
        </w:tc>
        <w:tc>
          <w:tcPr>
            <w:tcW w:type="dxa" w:w="3480"/>
            <w:tcBorders>
              <w:top w:val="single" w:color="CCCCCC" w:sz="1"/>
              <w:left w:val="single" w:color="CCCCCC" w:sz="1"/>
              <w:bottom w:val="single" w:color="CCCCCC" w:sz="1"/>
              <w:right w:val="single" w:color="CCCCCC" w:sz="1"/>
            </w:tcBorders>
            <w:shd w:fill="F0F7F4" w:val="clear"/>
            <w:tcMar>
              <w:top w:type="dxa" w:w="120"/>
              <w:left w:type="dxa" w:w="160"/>
              <w:bottom w:type="dxa" w:w="120"/>
              <w:right w:type="dxa" w:w="100"/>
            </w:tcMar>
          </w:tcPr>
          <w:p>
            <w:r>
              <w:rPr>
                <w:rFonts w:ascii="Arial" w:cs="Arial" w:eastAsia="Arial" w:hAnsi="Arial"/>
                <w:b/>
                <w:bCs/>
                <w:color w:val="1A5C3A"/>
                <w:sz w:val="20"/>
                <w:szCs w:val="20"/>
              </w:rPr>
              <w:t xml:space="preserve">A 5-touch WhatsApp + email follow-up cadence can recover an estimated 20–30% of currently lost leads</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00"/>
            </w:tcMar>
            <w:vAlign w:val="top"/>
          </w:tcPr>
          <w:p>
            <w:r>
              <w:rPr>
                <w:rFonts w:ascii="Arial" w:cs="Arial" w:eastAsia="Arial" w:hAnsi="Arial"/>
                <w:b/>
                <w:bCs/>
                <w:color w:val="0D6E6E"/>
                <w:sz w:val="20"/>
                <w:szCs w:val="20"/>
              </w:rPr>
              <w:t xml:space="preserve">Content Marketing &amp; SEO</w:t>
            </w:r>
          </w:p>
        </w:tc>
        <w:tc>
          <w:tcPr>
            <w:tcW w:type="dxa" w:w="36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00"/>
            </w:tcMar>
          </w:tcPr>
          <w:p>
            <w:r>
              <w:rPr>
                <w:rFonts w:ascii="Arial" w:cs="Arial" w:eastAsia="Arial" w:hAnsi="Arial"/>
                <w:color w:val="333333"/>
                <w:sz w:val="20"/>
                <w:szCs w:val="20"/>
              </w:rPr>
              <w:t xml:space="preserve">Blog page returns a 404 error. Zero content published. Competitors rank for 'land for sale Naivasha', 'land sale Konza', and related terms.</w:t>
            </w:r>
          </w:p>
        </w:tc>
        <w:tc>
          <w:tcPr>
            <w:tcW w:type="dxa" w:w="3480"/>
            <w:tcBorders>
              <w:top w:val="single" w:color="CCCCCC" w:sz="1"/>
              <w:left w:val="single" w:color="CCCCCC" w:sz="1"/>
              <w:bottom w:val="single" w:color="CCCCCC" w:sz="1"/>
              <w:right w:val="single" w:color="CCCCCC" w:sz="1"/>
            </w:tcBorders>
            <w:shd w:fill="F8FFF8" w:val="clear"/>
            <w:tcMar>
              <w:top w:type="dxa" w:w="120"/>
              <w:left w:type="dxa" w:w="160"/>
              <w:bottom w:type="dxa" w:w="120"/>
              <w:right w:type="dxa" w:w="100"/>
            </w:tcMar>
          </w:tcPr>
          <w:p>
            <w:r>
              <w:rPr>
                <w:rFonts w:ascii="Arial" w:cs="Arial" w:eastAsia="Arial" w:hAnsi="Arial"/>
                <w:b/>
                <w:bCs/>
                <w:color w:val="1A5C3A"/>
                <w:sz w:val="20"/>
                <w:szCs w:val="20"/>
              </w:rPr>
              <w:t xml:space="preserve">SEO-driven organic leads carry zero cost-per-click vs. Meta CPM of KES 250–600 per 1,000 impressions</w:t>
            </w:r>
          </w:p>
        </w:tc>
      </w:tr>
      <w:tr>
        <w:tc>
          <w:tcPr>
            <w:tcW w:type="dxa" w:w="220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00"/>
            </w:tcMar>
            <w:vAlign w:val="top"/>
          </w:tcPr>
          <w:p>
            <w:r>
              <w:rPr>
                <w:rFonts w:ascii="Arial" w:cs="Arial" w:eastAsia="Arial" w:hAnsi="Arial"/>
                <w:b/>
                <w:bCs/>
                <w:color w:val="0D6E6E"/>
                <w:sz w:val="20"/>
                <w:szCs w:val="20"/>
              </w:rPr>
              <w:t xml:space="preserve">Property Management Cross-Sell</w:t>
            </w:r>
          </w:p>
        </w:tc>
        <w:tc>
          <w:tcPr>
            <w:tcW w:type="dxa" w:w="368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00"/>
            </w:tcMar>
          </w:tcPr>
          <w:p>
            <w:r>
              <w:rPr>
                <w:rFonts w:ascii="Arial" w:cs="Arial" w:eastAsia="Arial" w:hAnsi="Arial"/>
                <w:color w:val="333333"/>
                <w:sz w:val="20"/>
                <w:szCs w:val="20"/>
              </w:rPr>
              <w:t xml:space="preserve">No PM pricing published. Landlords who purchase land are natural PM clients — this cross-sell is not systematically captured.</w:t>
            </w:r>
          </w:p>
        </w:tc>
        <w:tc>
          <w:tcPr>
            <w:tcW w:type="dxa" w:w="3480"/>
            <w:tcBorders>
              <w:top w:val="single" w:color="CCCCCC" w:sz="1"/>
              <w:left w:val="single" w:color="CCCCCC" w:sz="1"/>
              <w:bottom w:val="single" w:color="CCCCCC" w:sz="1"/>
              <w:right w:val="single" w:color="CCCCCC" w:sz="1"/>
            </w:tcBorders>
            <w:shd w:fill="F0F7F4" w:val="clear"/>
            <w:tcMar>
              <w:top w:type="dxa" w:w="120"/>
              <w:left w:type="dxa" w:w="160"/>
              <w:bottom w:type="dxa" w:w="120"/>
              <w:right w:type="dxa" w:w="100"/>
            </w:tcMar>
          </w:tcPr>
          <w:p>
            <w:r>
              <w:rPr>
                <w:rFonts w:ascii="Arial" w:cs="Arial" w:eastAsia="Arial" w:hAnsi="Arial"/>
                <w:b/>
                <w:bCs/>
                <w:color w:val="1A5C3A"/>
                <w:sz w:val="20"/>
                <w:szCs w:val="20"/>
              </w:rPr>
              <w:t xml:space="preserve">Landlord Advisory retainers at KES 15,000–40,000/month per property represent a predictable recurring revenue stream</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9" w:val="clear"/>
            <w:tcMar>
              <w:top w:type="dxa" w:w="200"/>
              <w:left w:type="dxa" w:w="280"/>
              <w:bottom w:type="dxa" w:w="200"/>
              <w:right w:type="dxa" w:w="280"/>
            </w:tcMar>
          </w:tcPr>
          <w:p>
            <w:pPr>
              <w:spacing w:after="80"/>
            </w:pPr>
            <w:r>
              <w:rPr>
                <w:rFonts w:ascii="Arial" w:cs="Arial" w:eastAsia="Arial" w:hAnsi="Arial"/>
                <w:b/>
                <w:bCs/>
                <w:color w:val="1A5C3A"/>
                <w:sz w:val="22"/>
                <w:szCs w:val="22"/>
              </w:rPr>
              <w:t xml:space="preserve">ROI Context</w:t>
            </w:r>
          </w:p>
          <w:p>
            <w:r>
              <w:rPr>
                <w:rFonts w:ascii="Arial" w:cs="Arial" w:eastAsia="Arial" w:hAnsi="Arial"/>
                <w:color w:val="1A5C3A"/>
                <w:sz w:val="20"/>
                <w:szCs w:val="20"/>
              </w:rPr>
              <w:t xml:space="preserve">A single incremental diaspora land sale at PRL's average land price of KES 3,000,000 (assuming a 3% commission rate) generates KES 90,000 in commission revenue. At the higher transaction range of KES 3.5M–5M, a single additional sale per month represents KES 1,000,000+ in annual commission revenue above baseline. The total recoverable opportunity across all five segments identified above is conservatively estimated at KES 10M–50M+ annually.</w:t>
            </w:r>
          </w:p>
        </w:tc>
      </w:tr>
    </w:tbl>
    <w:p>
      <w:r>
        <w:br w:type="page"/>
      </w:r>
    </w:p>
    <w:p>
      <w:pPr>
        <w:spacing w:after="80" w:before="360"/>
      </w:pPr>
      <w:r>
        <w:rPr>
          <w:rFonts w:ascii="Arial" w:cs="Arial" w:eastAsia="Arial" w:hAnsi="Arial"/>
          <w:b/>
          <w:bCs/>
          <w:color w:val="0D6E6E"/>
          <w:sz w:val="18"/>
          <w:szCs w:val="18"/>
        </w:rPr>
        <w:t xml:space="preserve">SECTION 05</w:t>
      </w:r>
    </w:p>
    <w:p>
      <w:pPr>
        <w:pStyle w:val="Heading1"/>
        <w:spacing w:after="160" w:before="120"/>
      </w:pPr>
      <w:r>
        <w:rPr>
          <w:rFonts w:ascii="Arial" w:cs="Arial" w:eastAsia="Arial" w:hAnsi="Arial"/>
          <w:b/>
          <w:bCs/>
          <w:color w:val="1B2A4A"/>
          <w:sz w:val="36"/>
          <w:szCs w:val="36"/>
        </w:rPr>
        <w:t xml:space="preserve">Critical Capability Gap Analysis</w:t>
      </w:r>
    </w:p>
    <w:p>
      <w:pPr>
        <w:spacing w:after="100" w:before="80"/>
        <w:jc w:val="left"/>
      </w:pPr>
      <w:r>
        <w:rPr>
          <w:rFonts w:ascii="Arial" w:cs="Arial" w:eastAsia="Arial" w:hAnsi="Arial"/>
          <w:b w:val="false"/>
          <w:bCs w:val="false"/>
          <w:i w:val="false"/>
          <w:iCs w:val="false"/>
          <w:color w:val="333333"/>
          <w:sz w:val="22"/>
          <w:szCs w:val="22"/>
        </w:rPr>
        <w:t xml:space="preserve">The following assessment rates each identified capability gap by severity and documents the specific operational finding. Severity ratings are assigned based on revenue impact, competitive urgency, and ease of resolution.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none" w:color="FFFFFF" w:sz="0"/>
              <w:left w:val="none" w:color="FFFFFF" w:sz="0"/>
              <w:bottom w:val="none" w:color="FFFFFF" w:sz="0"/>
              <w:right w:val="none" w:color="FFFFFF" w:sz="0"/>
            </w:tcBorders>
            <w:shd w:fill="1B2A4A" w:val="clear"/>
            <w:tcMar>
              <w:top w:type="dxa" w:w="100"/>
              <w:left w:type="dxa" w:w="160"/>
              <w:bottom w:type="dxa" w:w="100"/>
              <w:right w:type="dxa" w:w="100"/>
            </w:tcMar>
          </w:tcPr>
          <w:p>
            <w:r>
              <w:rPr>
                <w:rFonts w:ascii="Arial" w:cs="Arial" w:eastAsia="Arial" w:hAnsi="Arial"/>
                <w:b/>
                <w:bCs/>
                <w:color w:val="C9A84C"/>
                <w:sz w:val="18"/>
                <w:szCs w:val="18"/>
              </w:rPr>
              <w:t xml:space="preserve">CAPABILITY GAP</w:t>
            </w:r>
          </w:p>
        </w:tc>
        <w:tc>
          <w:tcPr>
            <w:tcW w:type="dxa" w:w="1200"/>
            <w:tcBorders>
              <w:top w:val="none" w:color="FFFFFF" w:sz="0"/>
              <w:left w:val="none" w:color="FFFFFF" w:sz="0"/>
              <w:bottom w:val="none" w:color="FFFFFF" w:sz="0"/>
              <w:right w:val="none" w:color="FFFFFF" w:sz="0"/>
            </w:tcBorders>
            <w:shd w:fill="1B2A4A" w:val="clear"/>
            <w:tcMar>
              <w:top w:type="dxa" w:w="100"/>
              <w:left w:type="dxa" w:w="160"/>
              <w:bottom w:type="dxa" w:w="100"/>
              <w:right w:type="dxa" w:w="100"/>
            </w:tcMar>
          </w:tcPr>
          <w:p>
            <w:r>
              <w:rPr>
                <w:rFonts w:ascii="Arial" w:cs="Arial" w:eastAsia="Arial" w:hAnsi="Arial"/>
                <w:b/>
                <w:bCs/>
                <w:color w:val="C9A84C"/>
                <w:sz w:val="18"/>
                <w:szCs w:val="18"/>
              </w:rPr>
              <w:t xml:space="preserve">SEVERITY</w:t>
            </w:r>
          </w:p>
        </w:tc>
        <w:tc>
          <w:tcPr>
            <w:tcW w:type="dxa" w:w="5560"/>
            <w:tcBorders>
              <w:top w:val="none" w:color="FFFFFF" w:sz="0"/>
              <w:left w:val="none" w:color="FFFFFF" w:sz="0"/>
              <w:bottom w:val="none" w:color="FFFFFF" w:sz="0"/>
              <w:right w:val="none" w:color="FFFFFF" w:sz="0"/>
            </w:tcBorders>
            <w:shd w:fill="1B2A4A" w:val="clear"/>
            <w:tcMar>
              <w:top w:type="dxa" w:w="100"/>
              <w:left w:type="dxa" w:w="160"/>
              <w:bottom w:type="dxa" w:w="100"/>
              <w:right w:type="dxa" w:w="100"/>
            </w:tcMar>
          </w:tcPr>
          <w:p>
            <w:r>
              <w:rPr>
                <w:rFonts w:ascii="Arial" w:cs="Arial" w:eastAsia="Arial" w:hAnsi="Arial"/>
                <w:b/>
                <w:bCs/>
                <w:color w:val="C9A84C"/>
                <w:sz w:val="18"/>
                <w:szCs w:val="18"/>
              </w:rPr>
              <w:t xml:space="preserve">FINDING</w:t>
            </w:r>
          </w:p>
        </w:tc>
      </w:tr>
      <w:tr>
        <w:tc>
          <w:tcPr>
            <w:tcW w:type="dxa" w:w="260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00"/>
            </w:tcMar>
            <w:vAlign w:val="top"/>
          </w:tcPr>
          <w:p>
            <w:r>
              <w:rPr>
                <w:rFonts w:ascii="Arial" w:cs="Arial" w:eastAsia="Arial" w:hAnsi="Arial"/>
                <w:b/>
                <w:bCs/>
                <w:color w:val="1B2A4A"/>
                <w:sz w:val="20"/>
                <w:szCs w:val="20"/>
              </w:rPr>
              <w:t xml:space="preserve">CRM &amp; Pipeline Visibility</w:t>
            </w:r>
          </w:p>
        </w:tc>
        <w:tc>
          <w:tcPr>
            <w:tcW w:type="dxa" w:w="1200"/>
            <w:tcBorders>
              <w:top w:val="single" w:color="CCCCCC" w:sz="1"/>
              <w:left w:val="single" w:color="CCCCCC" w:sz="1"/>
              <w:bottom w:val="single" w:color="CCCCCC" w:sz="1"/>
              <w:right w:val="single" w:color="CCCCCC" w:sz="1"/>
            </w:tcBorders>
            <w:shd w:fill="FDECEA" w:val="clear"/>
            <w:tcMar>
              <w:top w:type="dxa" w:w="120"/>
              <w:left w:type="dxa" w:w="100"/>
              <w:bottom w:type="dxa" w:w="120"/>
              <w:right w:type="dxa" w:w="100"/>
            </w:tcMar>
            <w:vAlign w:val="top"/>
          </w:tcPr>
          <w:p>
            <w:pPr>
              <w:jc w:val="center"/>
            </w:pPr>
            <w:r>
              <w:rPr>
                <w:rFonts w:ascii="Arial" w:cs="Arial" w:eastAsia="Arial" w:hAnsi="Arial"/>
                <w:b/>
                <w:bCs/>
                <w:color w:val="C0392B"/>
                <w:sz w:val="19"/>
                <w:szCs w:val="19"/>
              </w:rPr>
              <w:t xml:space="preserve">Critical</w:t>
            </w:r>
          </w:p>
        </w:tc>
        <w:tc>
          <w:tcPr>
            <w:tcW w:type="dxa" w:w="556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20"/>
            </w:tcMar>
          </w:tcPr>
          <w:p>
            <w:r>
              <w:rPr>
                <w:rFonts w:ascii="Arial" w:cs="Arial" w:eastAsia="Arial" w:hAnsi="Arial"/>
                <w:color w:val="333333"/>
                <w:sz w:val="20"/>
                <w:szCs w:val="20"/>
              </w:rPr>
              <w:t xml:space="preserve">No CRM in place. Leads managed via WhatsApp, phone, and personal relationships. Zero pipeline data or stage tracking. Sales performance cannot be measured, reviewed, or forecast.</w:t>
            </w:r>
          </w:p>
        </w:tc>
      </w:tr>
      <w:tr>
        <w:tc>
          <w:tcPr>
            <w:tcW w:type="dxa" w:w="2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00"/>
            </w:tcMar>
            <w:vAlign w:val="top"/>
          </w:tcPr>
          <w:p>
            <w:r>
              <w:rPr>
                <w:rFonts w:ascii="Arial" w:cs="Arial" w:eastAsia="Arial" w:hAnsi="Arial"/>
                <w:b/>
                <w:bCs/>
                <w:color w:val="1B2A4A"/>
                <w:sz w:val="20"/>
                <w:szCs w:val="20"/>
              </w:rPr>
              <w:t xml:space="preserve">Lead Lifecycle Architecture</w:t>
            </w:r>
          </w:p>
        </w:tc>
        <w:tc>
          <w:tcPr>
            <w:tcW w:type="dxa" w:w="1200"/>
            <w:tcBorders>
              <w:top w:val="single" w:color="CCCCCC" w:sz="1"/>
              <w:left w:val="single" w:color="CCCCCC" w:sz="1"/>
              <w:bottom w:val="single" w:color="CCCCCC" w:sz="1"/>
              <w:right w:val="single" w:color="CCCCCC" w:sz="1"/>
            </w:tcBorders>
            <w:shd w:fill="FDECEA" w:val="clear"/>
            <w:tcMar>
              <w:top w:type="dxa" w:w="120"/>
              <w:left w:type="dxa" w:w="100"/>
              <w:bottom w:type="dxa" w:w="120"/>
              <w:right w:type="dxa" w:w="100"/>
            </w:tcMar>
            <w:vAlign w:val="top"/>
          </w:tcPr>
          <w:p>
            <w:pPr>
              <w:jc w:val="center"/>
            </w:pPr>
            <w:r>
              <w:rPr>
                <w:rFonts w:ascii="Arial" w:cs="Arial" w:eastAsia="Arial" w:hAnsi="Arial"/>
                <w:b/>
                <w:bCs/>
                <w:color w:val="C0392B"/>
                <w:sz w:val="19"/>
                <w:szCs w:val="19"/>
              </w:rPr>
              <w:t xml:space="preserve">Critical</w:t>
            </w:r>
          </w:p>
        </w:tc>
        <w:tc>
          <w:tcPr>
            <w:tcW w:type="dxa" w:w="5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20"/>
            </w:tcMar>
          </w:tcPr>
          <w:p>
            <w:r>
              <w:rPr>
                <w:rFonts w:ascii="Arial" w:cs="Arial" w:eastAsia="Arial" w:hAnsi="Arial"/>
                <w:color w:val="333333"/>
                <w:sz w:val="20"/>
                <w:szCs w:val="20"/>
              </w:rPr>
              <w:t xml:space="preserve">No MQL/SQL definition, no lead scoring model, no documented qualification process, no handoff SLAs between marketing and sales functions.</w:t>
            </w:r>
          </w:p>
        </w:tc>
      </w:tr>
      <w:tr>
        <w:tc>
          <w:tcPr>
            <w:tcW w:type="dxa" w:w="260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00"/>
            </w:tcMar>
            <w:vAlign w:val="top"/>
          </w:tcPr>
          <w:p>
            <w:r>
              <w:rPr>
                <w:rFonts w:ascii="Arial" w:cs="Arial" w:eastAsia="Arial" w:hAnsi="Arial"/>
                <w:b/>
                <w:bCs/>
                <w:color w:val="1B2A4A"/>
                <w:sz w:val="20"/>
                <w:szCs w:val="20"/>
              </w:rPr>
              <w:t xml:space="preserve">Digital Acquisition Infrastructure</w:t>
            </w:r>
          </w:p>
        </w:tc>
        <w:tc>
          <w:tcPr>
            <w:tcW w:type="dxa" w:w="1200"/>
            <w:tcBorders>
              <w:top w:val="single" w:color="CCCCCC" w:sz="1"/>
              <w:left w:val="single" w:color="CCCCCC" w:sz="1"/>
              <w:bottom w:val="single" w:color="CCCCCC" w:sz="1"/>
              <w:right w:val="single" w:color="CCCCCC" w:sz="1"/>
            </w:tcBorders>
            <w:shd w:fill="FEF3E2" w:val="clear"/>
            <w:tcMar>
              <w:top w:type="dxa" w:w="120"/>
              <w:left w:type="dxa" w:w="100"/>
              <w:bottom w:type="dxa" w:w="120"/>
              <w:right w:type="dxa" w:w="100"/>
            </w:tcMar>
            <w:vAlign w:val="top"/>
          </w:tcPr>
          <w:p>
            <w:pPr>
              <w:jc w:val="center"/>
            </w:pPr>
            <w:r>
              <w:rPr>
                <w:rFonts w:ascii="Arial" w:cs="Arial" w:eastAsia="Arial" w:hAnsi="Arial"/>
                <w:b/>
                <w:bCs/>
                <w:color w:val="E67E22"/>
                <w:sz w:val="19"/>
                <w:szCs w:val="19"/>
              </w:rPr>
              <w:t xml:space="preserve">High</w:t>
            </w:r>
          </w:p>
        </w:tc>
        <w:tc>
          <w:tcPr>
            <w:tcW w:type="dxa" w:w="556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20"/>
            </w:tcMar>
          </w:tcPr>
          <w:p>
            <w:r>
              <w:rPr>
                <w:rFonts w:ascii="Arial" w:cs="Arial" w:eastAsia="Arial" w:hAnsi="Arial"/>
                <w:color w:val="333333"/>
                <w:sz w:val="20"/>
                <w:szCs w:val="20"/>
              </w:rPr>
              <w:t xml:space="preserve">Website has broken pages (blog 404). No content marketing programme. No SEO strategy. No paid digital campaigns. No social media content calendar.</w:t>
            </w:r>
          </w:p>
        </w:tc>
      </w:tr>
      <w:tr>
        <w:tc>
          <w:tcPr>
            <w:tcW w:type="dxa" w:w="2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00"/>
            </w:tcMar>
            <w:vAlign w:val="top"/>
          </w:tcPr>
          <w:p>
            <w:r>
              <w:rPr>
                <w:rFonts w:ascii="Arial" w:cs="Arial" w:eastAsia="Arial" w:hAnsi="Arial"/>
                <w:b/>
                <w:bCs/>
                <w:color w:val="1B2A4A"/>
                <w:sz w:val="20"/>
                <w:szCs w:val="20"/>
              </w:rPr>
              <w:t xml:space="preserve">Diaspora Acquisition Funnel</w:t>
            </w:r>
          </w:p>
        </w:tc>
        <w:tc>
          <w:tcPr>
            <w:tcW w:type="dxa" w:w="1200"/>
            <w:tcBorders>
              <w:top w:val="single" w:color="CCCCCC" w:sz="1"/>
              <w:left w:val="single" w:color="CCCCCC" w:sz="1"/>
              <w:bottom w:val="single" w:color="CCCCCC" w:sz="1"/>
              <w:right w:val="single" w:color="CCCCCC" w:sz="1"/>
            </w:tcBorders>
            <w:shd w:fill="FEF3E2" w:val="clear"/>
            <w:tcMar>
              <w:top w:type="dxa" w:w="120"/>
              <w:left w:type="dxa" w:w="100"/>
              <w:bottom w:type="dxa" w:w="120"/>
              <w:right w:type="dxa" w:w="100"/>
            </w:tcMar>
            <w:vAlign w:val="top"/>
          </w:tcPr>
          <w:p>
            <w:pPr>
              <w:jc w:val="center"/>
            </w:pPr>
            <w:r>
              <w:rPr>
                <w:rFonts w:ascii="Arial" w:cs="Arial" w:eastAsia="Arial" w:hAnsi="Arial"/>
                <w:b/>
                <w:bCs/>
                <w:color w:val="E67E22"/>
                <w:sz w:val="19"/>
                <w:szCs w:val="19"/>
              </w:rPr>
              <w:t xml:space="preserve">High</w:t>
            </w:r>
          </w:p>
        </w:tc>
        <w:tc>
          <w:tcPr>
            <w:tcW w:type="dxa" w:w="5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20"/>
            </w:tcMar>
          </w:tcPr>
          <w:p>
            <w:r>
              <w:rPr>
                <w:rFonts w:ascii="Arial" w:cs="Arial" w:eastAsia="Arial" w:hAnsi="Arial"/>
                <w:color w:val="333333"/>
                <w:sz w:val="20"/>
                <w:szCs w:val="20"/>
              </w:rPr>
              <w:t xml:space="preserve">No dedicated landing page, no diaspora-targeted ad campaigns, no WhatsApp webinar programme, no diaspora-specific CRM journey. Competing firms are active in this channel.</w:t>
            </w:r>
          </w:p>
        </w:tc>
      </w:tr>
      <w:tr>
        <w:tc>
          <w:tcPr>
            <w:tcW w:type="dxa" w:w="260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00"/>
            </w:tcMar>
            <w:vAlign w:val="top"/>
          </w:tcPr>
          <w:p>
            <w:r>
              <w:rPr>
                <w:rFonts w:ascii="Arial" w:cs="Arial" w:eastAsia="Arial" w:hAnsi="Arial"/>
                <w:b/>
                <w:bCs/>
                <w:color w:val="1B2A4A"/>
                <w:sz w:val="20"/>
                <w:szCs w:val="20"/>
              </w:rPr>
              <w:t xml:space="preserve">WhatsApp Lead Management</w:t>
            </w:r>
          </w:p>
        </w:tc>
        <w:tc>
          <w:tcPr>
            <w:tcW w:type="dxa" w:w="1200"/>
            <w:tcBorders>
              <w:top w:val="single" w:color="CCCCCC" w:sz="1"/>
              <w:left w:val="single" w:color="CCCCCC" w:sz="1"/>
              <w:bottom w:val="single" w:color="CCCCCC" w:sz="1"/>
              <w:right w:val="single" w:color="CCCCCC" w:sz="1"/>
            </w:tcBorders>
            <w:shd w:fill="FEF3E2" w:val="clear"/>
            <w:tcMar>
              <w:top w:type="dxa" w:w="120"/>
              <w:left w:type="dxa" w:w="100"/>
              <w:bottom w:type="dxa" w:w="120"/>
              <w:right w:type="dxa" w:w="100"/>
            </w:tcMar>
            <w:vAlign w:val="top"/>
          </w:tcPr>
          <w:p>
            <w:pPr>
              <w:jc w:val="center"/>
            </w:pPr>
            <w:r>
              <w:rPr>
                <w:rFonts w:ascii="Arial" w:cs="Arial" w:eastAsia="Arial" w:hAnsi="Arial"/>
                <w:b/>
                <w:bCs/>
                <w:color w:val="E67E22"/>
                <w:sz w:val="19"/>
                <w:szCs w:val="19"/>
              </w:rPr>
              <w:t xml:space="preserve">High</w:t>
            </w:r>
          </w:p>
        </w:tc>
        <w:tc>
          <w:tcPr>
            <w:tcW w:type="dxa" w:w="556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20"/>
            </w:tcMar>
          </w:tcPr>
          <w:p>
            <w:r>
              <w:rPr>
                <w:rFonts w:ascii="Arial" w:cs="Arial" w:eastAsia="Arial" w:hAnsi="Arial"/>
                <w:color w:val="333333"/>
                <w:sz w:val="20"/>
                <w:szCs w:val="20"/>
              </w:rPr>
              <w:t xml:space="preserve">WhatsApp is the primary inbound channel but has no CRM integration, no automated follow-up, and no structured qualification flow. Estimated 40–60% lead leak rate.</w:t>
            </w:r>
          </w:p>
        </w:tc>
      </w:tr>
      <w:tr>
        <w:tc>
          <w:tcPr>
            <w:tcW w:type="dxa" w:w="2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00"/>
            </w:tcMar>
            <w:vAlign w:val="top"/>
          </w:tcPr>
          <w:p>
            <w:r>
              <w:rPr>
                <w:rFonts w:ascii="Arial" w:cs="Arial" w:eastAsia="Arial" w:hAnsi="Arial"/>
                <w:b/>
                <w:bCs/>
                <w:color w:val="1B2A4A"/>
                <w:sz w:val="20"/>
                <w:szCs w:val="20"/>
              </w:rPr>
              <w:t xml:space="preserve">Reporting &amp; Revenue Intelligence</w:t>
            </w:r>
          </w:p>
        </w:tc>
        <w:tc>
          <w:tcPr>
            <w:tcW w:type="dxa" w:w="1200"/>
            <w:tcBorders>
              <w:top w:val="single" w:color="CCCCCC" w:sz="1"/>
              <w:left w:val="single" w:color="CCCCCC" w:sz="1"/>
              <w:bottom w:val="single" w:color="CCCCCC" w:sz="1"/>
              <w:right w:val="single" w:color="CCCCCC" w:sz="1"/>
            </w:tcBorders>
            <w:shd w:fill="EBF5FB" w:val="clear"/>
            <w:tcMar>
              <w:top w:type="dxa" w:w="120"/>
              <w:left w:type="dxa" w:w="100"/>
              <w:bottom w:type="dxa" w:w="120"/>
              <w:right w:type="dxa" w:w="100"/>
            </w:tcMar>
            <w:vAlign w:val="top"/>
          </w:tcPr>
          <w:p>
            <w:pPr>
              <w:jc w:val="center"/>
            </w:pPr>
            <w:r>
              <w:rPr>
                <w:rFonts w:ascii="Arial" w:cs="Arial" w:eastAsia="Arial" w:hAnsi="Arial"/>
                <w:b/>
                <w:bCs/>
                <w:color w:val="2980B9"/>
                <w:sz w:val="19"/>
                <w:szCs w:val="19"/>
              </w:rPr>
              <w:t xml:space="preserve">Medium</w:t>
            </w:r>
          </w:p>
        </w:tc>
        <w:tc>
          <w:tcPr>
            <w:tcW w:type="dxa" w:w="5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20"/>
            </w:tcMar>
          </w:tcPr>
          <w:p>
            <w:r>
              <w:rPr>
                <w:rFonts w:ascii="Arial" w:cs="Arial" w:eastAsia="Arial" w:hAnsi="Arial"/>
                <w:color w:val="333333"/>
                <w:sz w:val="20"/>
                <w:szCs w:val="20"/>
              </w:rPr>
              <w:t xml:space="preserve">No lead source attribution. No conversion rate data. No forecast model. Leadership makes commercial decisions without quantitative pipeline data.</w:t>
            </w:r>
          </w:p>
        </w:tc>
      </w:tr>
      <w:tr>
        <w:tc>
          <w:tcPr>
            <w:tcW w:type="dxa" w:w="260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00"/>
            </w:tcMar>
            <w:vAlign w:val="top"/>
          </w:tcPr>
          <w:p>
            <w:r>
              <w:rPr>
                <w:rFonts w:ascii="Arial" w:cs="Arial" w:eastAsia="Arial" w:hAnsi="Arial"/>
                <w:b/>
                <w:bCs/>
                <w:color w:val="1B2A4A"/>
                <w:sz w:val="20"/>
                <w:szCs w:val="20"/>
              </w:rPr>
              <w:t xml:space="preserve">Property Management Cross-Sell</w:t>
            </w:r>
          </w:p>
        </w:tc>
        <w:tc>
          <w:tcPr>
            <w:tcW w:type="dxa" w:w="1200"/>
            <w:tcBorders>
              <w:top w:val="single" w:color="CCCCCC" w:sz="1"/>
              <w:left w:val="single" w:color="CCCCCC" w:sz="1"/>
              <w:bottom w:val="single" w:color="CCCCCC" w:sz="1"/>
              <w:right w:val="single" w:color="CCCCCC" w:sz="1"/>
            </w:tcBorders>
            <w:shd w:fill="EBF5FB" w:val="clear"/>
            <w:tcMar>
              <w:top w:type="dxa" w:w="120"/>
              <w:left w:type="dxa" w:w="100"/>
              <w:bottom w:type="dxa" w:w="120"/>
              <w:right w:type="dxa" w:w="100"/>
            </w:tcMar>
            <w:vAlign w:val="top"/>
          </w:tcPr>
          <w:p>
            <w:pPr>
              <w:jc w:val="center"/>
            </w:pPr>
            <w:r>
              <w:rPr>
                <w:rFonts w:ascii="Arial" w:cs="Arial" w:eastAsia="Arial" w:hAnsi="Arial"/>
                <w:b/>
                <w:bCs/>
                <w:color w:val="2980B9"/>
                <w:sz w:val="19"/>
                <w:szCs w:val="19"/>
              </w:rPr>
              <w:t xml:space="preserve">Medium</w:t>
            </w:r>
          </w:p>
        </w:tc>
        <w:tc>
          <w:tcPr>
            <w:tcW w:type="dxa" w:w="556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20"/>
            </w:tcMar>
          </w:tcPr>
          <w:p>
            <w:r>
              <w:rPr>
                <w:rFonts w:ascii="Arial" w:cs="Arial" w:eastAsia="Arial" w:hAnsi="Arial"/>
                <w:color w:val="333333"/>
                <w:sz w:val="20"/>
                <w:szCs w:val="20"/>
              </w:rPr>
              <w:t xml:space="preserve">PM service exists but has no published pricing, no structured upsell process, and no integration with land sales buyer journey.</w:t>
            </w:r>
          </w:p>
        </w:tc>
      </w:tr>
      <w:tr>
        <w:tc>
          <w:tcPr>
            <w:tcW w:type="dxa" w:w="2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00"/>
            </w:tcMar>
            <w:vAlign w:val="top"/>
          </w:tcPr>
          <w:p>
            <w:r>
              <w:rPr>
                <w:rFonts w:ascii="Arial" w:cs="Arial" w:eastAsia="Arial" w:hAnsi="Arial"/>
                <w:b/>
                <w:bCs/>
                <w:color w:val="1B2A4A"/>
                <w:sz w:val="20"/>
                <w:szCs w:val="20"/>
              </w:rPr>
              <w:t xml:space="preserve">LinkedIn &amp; B2B Channel</w:t>
            </w:r>
          </w:p>
        </w:tc>
        <w:tc>
          <w:tcPr>
            <w:tcW w:type="dxa" w:w="1200"/>
            <w:tcBorders>
              <w:top w:val="single" w:color="CCCCCC" w:sz="1"/>
              <w:left w:val="single" w:color="CCCCCC" w:sz="1"/>
              <w:bottom w:val="single" w:color="CCCCCC" w:sz="1"/>
              <w:right w:val="single" w:color="CCCCCC" w:sz="1"/>
            </w:tcBorders>
            <w:shd w:fill="EBF5FB" w:val="clear"/>
            <w:tcMar>
              <w:top w:type="dxa" w:w="120"/>
              <w:left w:type="dxa" w:w="100"/>
              <w:bottom w:type="dxa" w:w="120"/>
              <w:right w:type="dxa" w:w="100"/>
            </w:tcMar>
            <w:vAlign w:val="top"/>
          </w:tcPr>
          <w:p>
            <w:pPr>
              <w:jc w:val="center"/>
            </w:pPr>
            <w:r>
              <w:rPr>
                <w:rFonts w:ascii="Arial" w:cs="Arial" w:eastAsia="Arial" w:hAnsi="Arial"/>
                <w:b/>
                <w:bCs/>
                <w:color w:val="2980B9"/>
                <w:sz w:val="19"/>
                <w:szCs w:val="19"/>
              </w:rPr>
              <w:t xml:space="preserve">Medium</w:t>
            </w:r>
          </w:p>
        </w:tc>
        <w:tc>
          <w:tcPr>
            <w:tcW w:type="dxa" w:w="5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20"/>
            </w:tcMar>
          </w:tcPr>
          <w:p>
            <w:r>
              <w:rPr>
                <w:rFonts w:ascii="Arial" w:cs="Arial" w:eastAsia="Arial" w:hAnsi="Arial"/>
                <w:color w:val="333333"/>
                <w:sz w:val="20"/>
                <w:szCs w:val="20"/>
              </w:rPr>
              <w:t xml:space="preserve">188 followers after 20 years of operation represents an untapped B2B channel. No content calendar, no thought leadership programme, no outbound outreach strategy.</w:t>
            </w:r>
          </w:p>
        </w:tc>
      </w:tr>
    </w:tbl>
    <w:p>
      <w:r>
        <w:br w:type="page"/>
      </w:r>
    </w:p>
    <w:p>
      <w:pPr>
        <w:spacing w:after="80" w:before="360"/>
      </w:pPr>
      <w:r>
        <w:rPr>
          <w:rFonts w:ascii="Arial" w:cs="Arial" w:eastAsia="Arial" w:hAnsi="Arial"/>
          <w:b/>
          <w:bCs/>
          <w:color w:val="0D6E6E"/>
          <w:sz w:val="18"/>
          <w:szCs w:val="18"/>
        </w:rPr>
        <w:t xml:space="preserve">SECTION 06</w:t>
      </w:r>
    </w:p>
    <w:p>
      <w:pPr>
        <w:pStyle w:val="Heading1"/>
        <w:spacing w:after="160" w:before="120"/>
      </w:pPr>
      <w:r>
        <w:rPr>
          <w:rFonts w:ascii="Arial" w:cs="Arial" w:eastAsia="Arial" w:hAnsi="Arial"/>
          <w:b/>
          <w:bCs/>
          <w:color w:val="1B2A4A"/>
          <w:sz w:val="36"/>
          <w:szCs w:val="36"/>
        </w:rPr>
        <w:t xml:space="preserve">Strategic Priorities &amp; Recommended Roadmap</w:t>
      </w:r>
    </w:p>
    <w:p>
      <w:pPr>
        <w:spacing w:after="100" w:before="80"/>
        <w:jc w:val="left"/>
      </w:pPr>
      <w:r>
        <w:rPr>
          <w:rFonts w:ascii="Arial" w:cs="Arial" w:eastAsia="Arial" w:hAnsi="Arial"/>
          <w:b w:val="false"/>
          <w:bCs w:val="false"/>
          <w:i w:val="false"/>
          <w:iCs w:val="false"/>
          <w:color w:val="333333"/>
          <w:sz w:val="22"/>
          <w:szCs w:val="22"/>
        </w:rPr>
        <w:t xml:space="preserve">Based on the diagnostic findings above, the following roadmap outlines the recommended sequencing of revenue infrastructure initiatives. Priorities are phased across three quarters — Foundation, Activation, and Scale — to ensure each layer is built before the next is activated.</w:t>
      </w:r>
    </w:p>
    <w:p>
      <w:pPr>
        <w:spacing w:after="80" w:before="80"/>
      </w:pPr>
      <w:r>
        <w:t xml:space="preserve"/>
      </w:r>
    </w:p>
    <w:p>
      <w:pPr>
        <w:spacing w:after="100" w:before="80"/>
        <w:jc w:val="left"/>
      </w:pPr>
      <w:r>
        <w:rPr>
          <w:rFonts w:ascii="Arial" w:cs="Arial" w:eastAsia="Arial" w:hAnsi="Arial"/>
          <w:b w:val="false"/>
          <w:bCs w:val="false"/>
          <w:i w:val="false"/>
          <w:iCs w:val="false"/>
          <w:color w:val="333333"/>
          <w:sz w:val="22"/>
          <w:szCs w:val="22"/>
        </w:rPr>
        <w:t xml:space="preserve">The roadmap is designed to deliver measurable ROI by Q3 2026, with full system ownership transferable to the PRL team at the close of Q4.</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6E6E" w:val="clear"/>
            <w:tcMar>
              <w:top w:type="dxa" w:w="160"/>
              <w:left w:type="dxa" w:w="200"/>
              <w:bottom w:type="dxa" w:w="160"/>
              <w:right w:type="dxa" w:w="200"/>
            </w:tcMar>
            <w:vAlign w:val="center"/>
          </w:tcPr>
          <w:p>
            <w:pPr>
              <w:jc w:val="center"/>
            </w:pPr>
            <w:r>
              <w:rPr>
                <w:rFonts w:ascii="Arial" w:cs="Arial" w:eastAsia="Arial" w:hAnsi="Arial"/>
                <w:b/>
                <w:bCs/>
                <w:color w:val="FFFFFF"/>
                <w:sz w:val="32"/>
                <w:szCs w:val="32"/>
              </w:rPr>
              <w:t xml:space="preserve">Q2</w:t>
            </w:r>
          </w:p>
        </w:tc>
        <w:tc>
          <w:tcPr>
            <w:tcW w:type="dxa" w:w="7960"/>
            <w:tcBorders>
              <w:top w:val="none" w:color="FFFFFF" w:sz="0"/>
              <w:left w:val="none" w:color="FFFFFF" w:sz="0"/>
              <w:bottom w:val="none" w:color="FFFFFF" w:sz="0"/>
              <w:right w:val="none" w:color="FFFFFF" w:sz="0"/>
            </w:tcBorders>
            <w:shd w:fill="1B2A4A" w:val="clear"/>
            <w:tcMar>
              <w:top w:type="dxa" w:w="160"/>
              <w:left w:type="dxa" w:w="280"/>
              <w:bottom w:type="dxa" w:w="160"/>
              <w:right w:type="dxa" w:w="200"/>
            </w:tcMar>
          </w:tcPr>
          <w:p>
            <w:pPr>
              <w:spacing w:after="60"/>
            </w:pPr>
            <w:r>
              <w:rPr>
                <w:rFonts w:ascii="Arial" w:cs="Arial" w:eastAsia="Arial" w:hAnsi="Arial"/>
                <w:b/>
                <w:bCs/>
                <w:color w:val="FFFFFF"/>
                <w:sz w:val="26"/>
                <w:szCs w:val="26"/>
              </w:rPr>
              <w:t xml:space="preserve">FOUNDATION — April to June 2026</w:t>
            </w:r>
          </w:p>
          <w:p>
            <w:r>
              <w:rPr>
                <w:rFonts w:ascii="Arial" w:cs="Arial" w:eastAsia="Arial" w:hAnsi="Arial"/>
                <w:i/>
                <w:iCs/>
                <w:color w:val="AABCCE"/>
                <w:sz w:val="20"/>
                <w:szCs w:val="20"/>
              </w:rPr>
              <w:t xml:space="preserve">Build the Revenue System: CRM, lead lifecycle, pipeline architecture, team 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none" w:color="FFFFFF" w:sz="0"/>
              <w:left w:val="none" w:color="FFFFFF" w:sz="0"/>
              <w:bottom w:val="none" w:color="FFFFFF" w:sz="0"/>
              <w:right w:val="none" w:color="FFFFFF" w:sz="0"/>
            </w:tcBorders>
            <w:shd w:fill="E8EEF4" w:val="clear"/>
            <w:tcMar>
              <w:top w:type="dxa" w:w="80"/>
              <w:left w:type="dxa" w:w="160"/>
              <w:bottom w:type="dxa" w:w="80"/>
              <w:right w:type="dxa" w:w="100"/>
            </w:tcMar>
          </w:tcPr>
          <w:p>
            <w:r>
              <w:rPr>
                <w:rFonts w:ascii="Arial" w:cs="Arial" w:eastAsia="Arial" w:hAnsi="Arial"/>
                <w:b/>
                <w:bCs/>
                <w:color w:val="1B2A4A"/>
                <w:sz w:val="17"/>
                <w:szCs w:val="17"/>
              </w:rPr>
              <w:t xml:space="preserve">PRIORITY ACTION</w:t>
            </w:r>
          </w:p>
        </w:tc>
        <w:tc>
          <w:tcPr>
            <w:tcW w:type="dxa" w:w="1800"/>
            <w:tcBorders>
              <w:top w:val="none" w:color="FFFFFF" w:sz="0"/>
              <w:left w:val="none" w:color="FFFFFF" w:sz="0"/>
              <w:bottom w:val="none" w:color="FFFFFF" w:sz="0"/>
              <w:right w:val="none" w:color="FFFFFF" w:sz="0"/>
            </w:tcBorders>
            <w:shd w:fill="E8EEF4" w:val="clear"/>
            <w:tcMar>
              <w:top w:type="dxa" w:w="80"/>
              <w:left w:type="dxa" w:w="160"/>
              <w:bottom w:type="dxa" w:w="80"/>
              <w:right w:type="dxa" w:w="100"/>
            </w:tcMar>
          </w:tcPr>
          <w:p>
            <w:r>
              <w:rPr>
                <w:rFonts w:ascii="Arial" w:cs="Arial" w:eastAsia="Arial" w:hAnsi="Arial"/>
                <w:b/>
                <w:bCs/>
                <w:color w:val="1B2A4A"/>
                <w:sz w:val="17"/>
                <w:szCs w:val="17"/>
              </w:rPr>
              <w:t xml:space="preserve">TIMELINE</w:t>
            </w:r>
          </w:p>
        </w:tc>
        <w:tc>
          <w:tcPr>
            <w:tcW w:type="dxa" w:w="3960"/>
            <w:tcBorders>
              <w:top w:val="none" w:color="FFFFFF" w:sz="0"/>
              <w:left w:val="none" w:color="FFFFFF" w:sz="0"/>
              <w:bottom w:val="none" w:color="FFFFFF" w:sz="0"/>
              <w:right w:val="none" w:color="FFFFFF" w:sz="0"/>
            </w:tcBorders>
            <w:shd w:fill="E8EEF4" w:val="clear"/>
            <w:tcMar>
              <w:top w:type="dxa" w:w="80"/>
              <w:left w:type="dxa" w:w="160"/>
              <w:bottom w:type="dxa" w:w="80"/>
              <w:right w:type="dxa" w:w="100"/>
            </w:tcMar>
          </w:tcPr>
          <w:p>
            <w:r>
              <w:rPr>
                <w:rFonts w:ascii="Arial" w:cs="Arial" w:eastAsia="Arial" w:hAnsi="Arial"/>
                <w:b/>
                <w:bCs/>
                <w:color w:val="1B2A4A"/>
                <w:sz w:val="17"/>
                <w:szCs w:val="17"/>
              </w:rPr>
              <w:t xml:space="preserve">TARGET OUTCOME</w:t>
            </w:r>
          </w:p>
        </w:tc>
      </w:tr>
      <w:tr>
        <w:tc>
          <w:tcPr>
            <w:tcW w:type="dxa" w:w="3600"/>
            <w:tcBorders>
              <w:top w:val="single" w:color="CCCCCC" w:sz="1"/>
              <w:left w:val="single" w:color="CCCCCC" w:sz="1"/>
              <w:bottom w:val="single" w:color="CCCCCC" w:sz="1"/>
              <w:right w:val="single" w:color="CCCCCC" w:sz="1"/>
            </w:tcBorders>
            <w:shd w:fill="F5F8FB" w:val="clear"/>
            <w:tcMar>
              <w:top w:type="dxa" w:w="100"/>
              <w:left w:type="dxa" w:w="160"/>
              <w:bottom w:type="dxa" w:w="100"/>
              <w:right w:type="dxa" w:w="100"/>
            </w:tcMar>
          </w:tcPr>
          <w:p>
            <w:r>
              <w:rPr>
                <w:rFonts w:ascii="Arial" w:cs="Arial" w:eastAsia="Arial" w:hAnsi="Arial"/>
                <w:b/>
                <w:bCs/>
                <w:color w:val="0D6E6E"/>
                <w:sz w:val="20"/>
                <w:szCs w:val="20"/>
              </w:rPr>
              <w:t xml:space="preserve">RevOps Audit &amp; SPICED Discovery</w:t>
            </w:r>
          </w:p>
        </w:tc>
        <w:tc>
          <w:tcPr>
            <w:tcW w:type="dxa" w:w="1800"/>
            <w:tcBorders>
              <w:top w:val="single" w:color="CCCCCC" w:sz="1"/>
              <w:left w:val="single" w:color="CCCCCC" w:sz="1"/>
              <w:bottom w:val="single" w:color="CCCCCC" w:sz="1"/>
              <w:right w:val="single" w:color="CCCCCC" w:sz="1"/>
            </w:tcBorders>
            <w:shd w:fill="F5F8FB" w:val="clear"/>
            <w:tcMar>
              <w:top w:type="dxa" w:w="100"/>
              <w:left w:type="dxa" w:w="100"/>
              <w:bottom w:type="dxa" w:w="100"/>
              <w:right w:type="dxa" w:w="100"/>
            </w:tcMar>
          </w:tcPr>
          <w:p>
            <w:r>
              <w:rPr>
                <w:rFonts w:ascii="Arial" w:cs="Arial" w:eastAsia="Arial" w:hAnsi="Arial"/>
                <w:color w:val="4A5568"/>
                <w:sz w:val="20"/>
                <w:szCs w:val="20"/>
              </w:rPr>
              <w:t xml:space="preserve">Weeks 1–2</w:t>
            </w:r>
          </w:p>
        </w:tc>
        <w:tc>
          <w:tcPr>
            <w:tcW w:type="dxa" w:w="3960"/>
            <w:tcBorders>
              <w:top w:val="single" w:color="CCCCCC" w:sz="1"/>
              <w:left w:val="single" w:color="CCCCCC" w:sz="1"/>
              <w:bottom w:val="single" w:color="CCCCCC" w:sz="1"/>
              <w:right w:val="single" w:color="CCCCCC" w:sz="1"/>
            </w:tcBorders>
            <w:shd w:fill="F5F8FB" w:val="clear"/>
            <w:tcMar>
              <w:top w:type="dxa" w:w="100"/>
              <w:left w:type="dxa" w:w="160"/>
              <w:bottom w:type="dxa" w:w="100"/>
              <w:right w:type="dxa" w:w="120"/>
            </w:tcMar>
          </w:tcPr>
          <w:p>
            <w:r>
              <w:rPr>
                <w:rFonts w:ascii="Arial" w:cs="Arial" w:eastAsia="Arial" w:hAnsi="Arial"/>
                <w:i/>
                <w:iCs/>
                <w:color w:val="333333"/>
                <w:sz w:val="20"/>
                <w:szCs w:val="20"/>
              </w:rPr>
              <w:t xml:space="preserve">Documented current-state: funnel map, conversion rates, toolstack, team SLAs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r>
              <w:rPr>
                <w:rFonts w:ascii="Arial" w:cs="Arial" w:eastAsia="Arial" w:hAnsi="Arial"/>
                <w:b/>
                <w:bCs/>
                <w:color w:val="0D6E6E"/>
                <w:sz w:val="20"/>
                <w:szCs w:val="20"/>
              </w:rPr>
              <w:t xml:space="preserve">CRM Setup &amp; Configuration (Zoho CRM)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4A5568"/>
                <w:sz w:val="20"/>
                <w:szCs w:val="20"/>
              </w:rPr>
              <w:t xml:space="preserve">Weeks 2–4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i/>
                <w:iCs/>
                <w:color w:val="333333"/>
                <w:sz w:val="20"/>
                <w:szCs w:val="20"/>
              </w:rPr>
              <w:t xml:space="preserve">Fully configured CRM with property types, deal stages, and contact fields</w:t>
            </w:r>
          </w:p>
        </w:tc>
      </w:tr>
      <w:tr>
        <w:tc>
          <w:tcPr>
            <w:tcW w:type="dxa" w:w="3600"/>
            <w:tcBorders>
              <w:top w:val="single" w:color="CCCCCC" w:sz="1"/>
              <w:left w:val="single" w:color="CCCCCC" w:sz="1"/>
              <w:bottom w:val="single" w:color="CCCCCC" w:sz="1"/>
              <w:right w:val="single" w:color="CCCCCC" w:sz="1"/>
            </w:tcBorders>
            <w:shd w:fill="F5F8FB" w:val="clear"/>
            <w:tcMar>
              <w:top w:type="dxa" w:w="100"/>
              <w:left w:type="dxa" w:w="160"/>
              <w:bottom w:type="dxa" w:w="100"/>
              <w:right w:type="dxa" w:w="100"/>
            </w:tcMar>
          </w:tcPr>
          <w:p>
            <w:r>
              <w:rPr>
                <w:rFonts w:ascii="Arial" w:cs="Arial" w:eastAsia="Arial" w:hAnsi="Arial"/>
                <w:b/>
                <w:bCs/>
                <w:color w:val="0D6E6E"/>
                <w:sz w:val="20"/>
                <w:szCs w:val="20"/>
              </w:rPr>
              <w:t xml:space="preserve">Lead Lifecycle Design</w:t>
            </w:r>
          </w:p>
        </w:tc>
        <w:tc>
          <w:tcPr>
            <w:tcW w:type="dxa" w:w="1800"/>
            <w:tcBorders>
              <w:top w:val="single" w:color="CCCCCC" w:sz="1"/>
              <w:left w:val="single" w:color="CCCCCC" w:sz="1"/>
              <w:bottom w:val="single" w:color="CCCCCC" w:sz="1"/>
              <w:right w:val="single" w:color="CCCCCC" w:sz="1"/>
            </w:tcBorders>
            <w:shd w:fill="F5F8FB" w:val="clear"/>
            <w:tcMar>
              <w:top w:type="dxa" w:w="100"/>
              <w:left w:type="dxa" w:w="100"/>
              <w:bottom w:type="dxa" w:w="100"/>
              <w:right w:type="dxa" w:w="100"/>
            </w:tcMar>
          </w:tcPr>
          <w:p>
            <w:r>
              <w:rPr>
                <w:rFonts w:ascii="Arial" w:cs="Arial" w:eastAsia="Arial" w:hAnsi="Arial"/>
                <w:color w:val="4A5568"/>
                <w:sz w:val="20"/>
                <w:szCs w:val="20"/>
              </w:rPr>
              <w:t xml:space="preserve">Weeks 3–5</w:t>
            </w:r>
          </w:p>
        </w:tc>
        <w:tc>
          <w:tcPr>
            <w:tcW w:type="dxa" w:w="3960"/>
            <w:tcBorders>
              <w:top w:val="single" w:color="CCCCCC" w:sz="1"/>
              <w:left w:val="single" w:color="CCCCCC" w:sz="1"/>
              <w:bottom w:val="single" w:color="CCCCCC" w:sz="1"/>
              <w:right w:val="single" w:color="CCCCCC" w:sz="1"/>
            </w:tcBorders>
            <w:shd w:fill="F5F8FB" w:val="clear"/>
            <w:tcMar>
              <w:top w:type="dxa" w:w="100"/>
              <w:left w:type="dxa" w:w="160"/>
              <w:bottom w:type="dxa" w:w="100"/>
              <w:right w:type="dxa" w:w="120"/>
            </w:tcMar>
          </w:tcPr>
          <w:p>
            <w:r>
              <w:rPr>
                <w:rFonts w:ascii="Arial" w:cs="Arial" w:eastAsia="Arial" w:hAnsi="Arial"/>
                <w:i/>
                <w:iCs/>
                <w:color w:val="333333"/>
                <w:sz w:val="20"/>
                <w:szCs w:val="20"/>
              </w:rPr>
              <w:t xml:space="preserve">MQL/SQL definitions documented; lead scoring model live; handoff SLAs published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r>
              <w:rPr>
                <w:rFonts w:ascii="Arial" w:cs="Arial" w:eastAsia="Arial" w:hAnsi="Arial"/>
                <w:b/>
                <w:bCs/>
                <w:color w:val="0D6E6E"/>
                <w:sz w:val="20"/>
                <w:szCs w:val="20"/>
              </w:rPr>
              <w:t xml:space="preserve">Pipeline Stage Architecture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4A5568"/>
                <w:sz w:val="20"/>
                <w:szCs w:val="20"/>
              </w:rPr>
              <w:t xml:space="preserve">Weeks 4–6</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i/>
                <w:iCs/>
                <w:color w:val="333333"/>
                <w:sz w:val="20"/>
                <w:szCs w:val="20"/>
              </w:rPr>
              <w:t xml:space="preserve">6-stage sales pipeline live in CRM; every active deal migrated and owned</w:t>
            </w:r>
          </w:p>
        </w:tc>
      </w:tr>
      <w:tr>
        <w:tc>
          <w:tcPr>
            <w:tcW w:type="dxa" w:w="3600"/>
            <w:tcBorders>
              <w:top w:val="single" w:color="CCCCCC" w:sz="1"/>
              <w:left w:val="single" w:color="CCCCCC" w:sz="1"/>
              <w:bottom w:val="single" w:color="CCCCCC" w:sz="1"/>
              <w:right w:val="single" w:color="CCCCCC" w:sz="1"/>
            </w:tcBorders>
            <w:shd w:fill="F5F8FB" w:val="clear"/>
            <w:tcMar>
              <w:top w:type="dxa" w:w="100"/>
              <w:left w:type="dxa" w:w="160"/>
              <w:bottom w:type="dxa" w:w="100"/>
              <w:right w:type="dxa" w:w="100"/>
            </w:tcMar>
          </w:tcPr>
          <w:p>
            <w:r>
              <w:rPr>
                <w:rFonts w:ascii="Arial" w:cs="Arial" w:eastAsia="Arial" w:hAnsi="Arial"/>
                <w:b/>
                <w:bCs/>
                <w:color w:val="0D6E6E"/>
                <w:sz w:val="20"/>
                <w:szCs w:val="20"/>
              </w:rPr>
              <w:t xml:space="preserve">WhatsApp-to-CRM Integration</w:t>
            </w:r>
          </w:p>
        </w:tc>
        <w:tc>
          <w:tcPr>
            <w:tcW w:type="dxa" w:w="1800"/>
            <w:tcBorders>
              <w:top w:val="single" w:color="CCCCCC" w:sz="1"/>
              <w:left w:val="single" w:color="CCCCCC" w:sz="1"/>
              <w:bottom w:val="single" w:color="CCCCCC" w:sz="1"/>
              <w:right w:val="single" w:color="CCCCCC" w:sz="1"/>
            </w:tcBorders>
            <w:shd w:fill="F5F8FB" w:val="clear"/>
            <w:tcMar>
              <w:top w:type="dxa" w:w="100"/>
              <w:left w:type="dxa" w:w="100"/>
              <w:bottom w:type="dxa" w:w="100"/>
              <w:right w:type="dxa" w:w="100"/>
            </w:tcMar>
          </w:tcPr>
          <w:p>
            <w:r>
              <w:rPr>
                <w:rFonts w:ascii="Arial" w:cs="Arial" w:eastAsia="Arial" w:hAnsi="Arial"/>
                <w:color w:val="4A5568"/>
                <w:sz w:val="20"/>
                <w:szCs w:val="20"/>
              </w:rPr>
              <w:t xml:space="preserve">Weeks 5–6</w:t>
            </w:r>
          </w:p>
        </w:tc>
        <w:tc>
          <w:tcPr>
            <w:tcW w:type="dxa" w:w="3960"/>
            <w:tcBorders>
              <w:top w:val="single" w:color="CCCCCC" w:sz="1"/>
              <w:left w:val="single" w:color="CCCCCC" w:sz="1"/>
              <w:bottom w:val="single" w:color="CCCCCC" w:sz="1"/>
              <w:right w:val="single" w:color="CCCCCC" w:sz="1"/>
            </w:tcBorders>
            <w:shd w:fill="F5F8FB" w:val="clear"/>
            <w:tcMar>
              <w:top w:type="dxa" w:w="100"/>
              <w:left w:type="dxa" w:w="160"/>
              <w:bottom w:type="dxa" w:w="100"/>
              <w:right w:type="dxa" w:w="120"/>
            </w:tcMar>
          </w:tcPr>
          <w:p>
            <w:r>
              <w:rPr>
                <w:rFonts w:ascii="Arial" w:cs="Arial" w:eastAsia="Arial" w:hAnsi="Arial"/>
                <w:i/>
                <w:iCs/>
                <w:color w:val="333333"/>
                <w:sz w:val="20"/>
                <w:szCs w:val="20"/>
              </w:rPr>
              <w:t xml:space="preserve">All WhatsApp leads auto-captured into CRM; zero manual entry for inbound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r>
              <w:rPr>
                <w:rFonts w:ascii="Arial" w:cs="Arial" w:eastAsia="Arial" w:hAnsi="Arial"/>
                <w:b/>
                <w:bCs/>
                <w:color w:val="0D6E6E"/>
                <w:sz w:val="20"/>
                <w:szCs w:val="20"/>
              </w:rPr>
              <w:t xml:space="preserve">Team Training &amp; SOP Handoff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4A5568"/>
                <w:sz w:val="20"/>
                <w:szCs w:val="20"/>
              </w:rPr>
              <w:t xml:space="preserve">Week 6</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i/>
                <w:iCs/>
                <w:color w:val="333333"/>
                <w:sz w:val="20"/>
                <w:szCs w:val="20"/>
              </w:rPr>
              <w:t xml:space="preserve">Sales team trained on CRM usage, SPICED qualification, and daily pipeline hygiene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6E6E" w:val="clear"/>
            <w:tcMar>
              <w:top w:type="dxa" w:w="160"/>
              <w:left w:type="dxa" w:w="200"/>
              <w:bottom w:type="dxa" w:w="160"/>
              <w:right w:type="dxa" w:w="200"/>
            </w:tcMar>
            <w:vAlign w:val="center"/>
          </w:tcPr>
          <w:p>
            <w:pPr>
              <w:jc w:val="center"/>
            </w:pPr>
            <w:r>
              <w:rPr>
                <w:rFonts w:ascii="Arial" w:cs="Arial" w:eastAsia="Arial" w:hAnsi="Arial"/>
                <w:b/>
                <w:bCs/>
                <w:color w:val="FFFFFF"/>
                <w:sz w:val="32"/>
                <w:szCs w:val="32"/>
              </w:rPr>
              <w:t xml:space="preserve">Q3</w:t>
            </w:r>
          </w:p>
        </w:tc>
        <w:tc>
          <w:tcPr>
            <w:tcW w:type="dxa" w:w="7960"/>
            <w:tcBorders>
              <w:top w:val="none" w:color="FFFFFF" w:sz="0"/>
              <w:left w:val="none" w:color="FFFFFF" w:sz="0"/>
              <w:bottom w:val="none" w:color="FFFFFF" w:sz="0"/>
              <w:right w:val="none" w:color="FFFFFF" w:sz="0"/>
            </w:tcBorders>
            <w:shd w:fill="1B2A4A" w:val="clear"/>
            <w:tcMar>
              <w:top w:type="dxa" w:w="160"/>
              <w:left w:type="dxa" w:w="280"/>
              <w:bottom w:type="dxa" w:w="160"/>
              <w:right w:type="dxa" w:w="200"/>
            </w:tcMar>
          </w:tcPr>
          <w:p>
            <w:pPr>
              <w:spacing w:after="60"/>
            </w:pPr>
            <w:r>
              <w:rPr>
                <w:rFonts w:ascii="Arial" w:cs="Arial" w:eastAsia="Arial" w:hAnsi="Arial"/>
                <w:b/>
                <w:bCs/>
                <w:color w:val="FFFFFF"/>
                <w:sz w:val="26"/>
                <w:szCs w:val="26"/>
              </w:rPr>
              <w:t xml:space="preserve">ACTIVATION — July to September 2026</w:t>
            </w:r>
          </w:p>
          <w:p>
            <w:r>
              <w:rPr>
                <w:rFonts w:ascii="Arial" w:cs="Arial" w:eastAsia="Arial" w:hAnsi="Arial"/>
                <w:i/>
                <w:iCs/>
                <w:color w:val="AABCCE"/>
                <w:sz w:val="20"/>
                <w:szCs w:val="20"/>
              </w:rPr>
              <w:t xml:space="preserve">Fill the Pipeline: diaspora funnel, AI lead qualification, LinkedIn, content engine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none" w:color="FFFFFF" w:sz="0"/>
              <w:left w:val="none" w:color="FFFFFF" w:sz="0"/>
              <w:bottom w:val="none" w:color="FFFFFF" w:sz="0"/>
              <w:right w:val="none" w:color="FFFFFF" w:sz="0"/>
            </w:tcBorders>
            <w:shd w:fill="E8EEF4" w:val="clear"/>
            <w:tcMar>
              <w:top w:type="dxa" w:w="80"/>
              <w:left w:type="dxa" w:w="160"/>
              <w:bottom w:type="dxa" w:w="80"/>
              <w:right w:type="dxa" w:w="100"/>
            </w:tcMar>
          </w:tcPr>
          <w:p>
            <w:r>
              <w:rPr>
                <w:rFonts w:ascii="Arial" w:cs="Arial" w:eastAsia="Arial" w:hAnsi="Arial"/>
                <w:b/>
                <w:bCs/>
                <w:color w:val="1B2A4A"/>
                <w:sz w:val="17"/>
                <w:szCs w:val="17"/>
              </w:rPr>
              <w:t xml:space="preserve">PRIORITY ACTION</w:t>
            </w:r>
          </w:p>
        </w:tc>
        <w:tc>
          <w:tcPr>
            <w:tcW w:type="dxa" w:w="1800"/>
            <w:tcBorders>
              <w:top w:val="none" w:color="FFFFFF" w:sz="0"/>
              <w:left w:val="none" w:color="FFFFFF" w:sz="0"/>
              <w:bottom w:val="none" w:color="FFFFFF" w:sz="0"/>
              <w:right w:val="none" w:color="FFFFFF" w:sz="0"/>
            </w:tcBorders>
            <w:shd w:fill="E8EEF4" w:val="clear"/>
            <w:tcMar>
              <w:top w:type="dxa" w:w="80"/>
              <w:left w:type="dxa" w:w="160"/>
              <w:bottom w:type="dxa" w:w="80"/>
              <w:right w:type="dxa" w:w="100"/>
            </w:tcMar>
          </w:tcPr>
          <w:p>
            <w:r>
              <w:rPr>
                <w:rFonts w:ascii="Arial" w:cs="Arial" w:eastAsia="Arial" w:hAnsi="Arial"/>
                <w:b/>
                <w:bCs/>
                <w:color w:val="1B2A4A"/>
                <w:sz w:val="17"/>
                <w:szCs w:val="17"/>
              </w:rPr>
              <w:t xml:space="preserve">TIMELINE</w:t>
            </w:r>
          </w:p>
        </w:tc>
        <w:tc>
          <w:tcPr>
            <w:tcW w:type="dxa" w:w="3960"/>
            <w:tcBorders>
              <w:top w:val="none" w:color="FFFFFF" w:sz="0"/>
              <w:left w:val="none" w:color="FFFFFF" w:sz="0"/>
              <w:bottom w:val="none" w:color="FFFFFF" w:sz="0"/>
              <w:right w:val="none" w:color="FFFFFF" w:sz="0"/>
            </w:tcBorders>
            <w:shd w:fill="E8EEF4" w:val="clear"/>
            <w:tcMar>
              <w:top w:type="dxa" w:w="80"/>
              <w:left w:type="dxa" w:w="160"/>
              <w:bottom w:type="dxa" w:w="80"/>
              <w:right w:type="dxa" w:w="100"/>
            </w:tcMar>
          </w:tcPr>
          <w:p>
            <w:r>
              <w:rPr>
                <w:rFonts w:ascii="Arial" w:cs="Arial" w:eastAsia="Arial" w:hAnsi="Arial"/>
                <w:b/>
                <w:bCs/>
                <w:color w:val="1B2A4A"/>
                <w:sz w:val="17"/>
                <w:szCs w:val="17"/>
              </w:rPr>
              <w:t xml:space="preserve">TARGET OUTCOME</w:t>
            </w:r>
          </w:p>
        </w:tc>
      </w:tr>
      <w:tr>
        <w:tc>
          <w:tcPr>
            <w:tcW w:type="dxa" w:w="3600"/>
            <w:tcBorders>
              <w:top w:val="single" w:color="CCCCCC" w:sz="1"/>
              <w:left w:val="single" w:color="CCCCCC" w:sz="1"/>
              <w:bottom w:val="single" w:color="CCCCCC" w:sz="1"/>
              <w:right w:val="single" w:color="CCCCCC" w:sz="1"/>
            </w:tcBorders>
            <w:shd w:fill="F5F8FB" w:val="clear"/>
            <w:tcMar>
              <w:top w:type="dxa" w:w="100"/>
              <w:left w:type="dxa" w:w="160"/>
              <w:bottom w:type="dxa" w:w="100"/>
              <w:right w:type="dxa" w:w="100"/>
            </w:tcMar>
          </w:tcPr>
          <w:p>
            <w:r>
              <w:rPr>
                <w:rFonts w:ascii="Arial" w:cs="Arial" w:eastAsia="Arial" w:hAnsi="Arial"/>
                <w:b/>
                <w:bCs/>
                <w:color w:val="0D6E6E"/>
                <w:sz w:val="20"/>
                <w:szCs w:val="20"/>
              </w:rPr>
              <w:t xml:space="preserve">Diaspora Digital Funnel Build</w:t>
            </w:r>
          </w:p>
        </w:tc>
        <w:tc>
          <w:tcPr>
            <w:tcW w:type="dxa" w:w="1800"/>
            <w:tcBorders>
              <w:top w:val="single" w:color="CCCCCC" w:sz="1"/>
              <w:left w:val="single" w:color="CCCCCC" w:sz="1"/>
              <w:bottom w:val="single" w:color="CCCCCC" w:sz="1"/>
              <w:right w:val="single" w:color="CCCCCC" w:sz="1"/>
            </w:tcBorders>
            <w:shd w:fill="F5F8FB" w:val="clear"/>
            <w:tcMar>
              <w:top w:type="dxa" w:w="100"/>
              <w:left w:type="dxa" w:w="100"/>
              <w:bottom w:type="dxa" w:w="100"/>
              <w:right w:type="dxa" w:w="100"/>
            </w:tcMar>
          </w:tcPr>
          <w:p>
            <w:r>
              <w:rPr>
                <w:rFonts w:ascii="Arial" w:cs="Arial" w:eastAsia="Arial" w:hAnsi="Arial"/>
                <w:color w:val="4A5568"/>
                <w:sz w:val="20"/>
                <w:szCs w:val="20"/>
              </w:rPr>
              <w:t xml:space="preserve">Weeks 7–9</w:t>
            </w:r>
          </w:p>
        </w:tc>
        <w:tc>
          <w:tcPr>
            <w:tcW w:type="dxa" w:w="3960"/>
            <w:tcBorders>
              <w:top w:val="single" w:color="CCCCCC" w:sz="1"/>
              <w:left w:val="single" w:color="CCCCCC" w:sz="1"/>
              <w:bottom w:val="single" w:color="CCCCCC" w:sz="1"/>
              <w:right w:val="single" w:color="CCCCCC" w:sz="1"/>
            </w:tcBorders>
            <w:shd w:fill="F5F8FB" w:val="clear"/>
            <w:tcMar>
              <w:top w:type="dxa" w:w="100"/>
              <w:left w:type="dxa" w:w="160"/>
              <w:bottom w:type="dxa" w:w="100"/>
              <w:right w:type="dxa" w:w="120"/>
            </w:tcMar>
          </w:tcPr>
          <w:p>
            <w:r>
              <w:rPr>
                <w:rFonts w:ascii="Arial" w:cs="Arial" w:eastAsia="Arial" w:hAnsi="Arial"/>
                <w:i/>
                <w:iCs/>
                <w:color w:val="333333"/>
                <w:sz w:val="20"/>
                <w:szCs w:val="20"/>
              </w:rPr>
              <w:t xml:space="preserve">Dedicated landing page live; Meta Ad campaign targeting diaspora in UK, USA, UAE, Canada</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r>
              <w:rPr>
                <w:rFonts w:ascii="Arial" w:cs="Arial" w:eastAsia="Arial" w:hAnsi="Arial"/>
                <w:b/>
                <w:bCs/>
                <w:color w:val="0D6E6E"/>
                <w:sz w:val="20"/>
                <w:szCs w:val="20"/>
              </w:rPr>
              <w:t xml:space="preserve">YouTube Virtual Tour Programme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4A5568"/>
                <w:sz w:val="20"/>
                <w:szCs w:val="20"/>
              </w:rPr>
              <w:t xml:space="preserve">Weeks 7–10</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i/>
                <w:iCs/>
                <w:color w:val="333333"/>
                <w:sz w:val="20"/>
                <w:szCs w:val="20"/>
              </w:rPr>
              <w:t xml:space="preserve">Monthly video walkthroughs for Pana Ranch, Limuru III, Konza City View; 4 videos published</w:t>
            </w:r>
          </w:p>
        </w:tc>
      </w:tr>
      <w:tr>
        <w:tc>
          <w:tcPr>
            <w:tcW w:type="dxa" w:w="3600"/>
            <w:tcBorders>
              <w:top w:val="single" w:color="CCCCCC" w:sz="1"/>
              <w:left w:val="single" w:color="CCCCCC" w:sz="1"/>
              <w:bottom w:val="single" w:color="CCCCCC" w:sz="1"/>
              <w:right w:val="single" w:color="CCCCCC" w:sz="1"/>
            </w:tcBorders>
            <w:shd w:fill="F5F8FB" w:val="clear"/>
            <w:tcMar>
              <w:top w:type="dxa" w:w="100"/>
              <w:left w:type="dxa" w:w="160"/>
              <w:bottom w:type="dxa" w:w="100"/>
              <w:right w:type="dxa" w:w="100"/>
            </w:tcMar>
          </w:tcPr>
          <w:p>
            <w:r>
              <w:rPr>
                <w:rFonts w:ascii="Arial" w:cs="Arial" w:eastAsia="Arial" w:hAnsi="Arial"/>
                <w:b/>
                <w:bCs/>
                <w:color w:val="0D6E6E"/>
                <w:sz w:val="20"/>
                <w:szCs w:val="20"/>
              </w:rPr>
              <w:t xml:space="preserve">LinkedIn Authority Programme</w:t>
            </w:r>
          </w:p>
        </w:tc>
        <w:tc>
          <w:tcPr>
            <w:tcW w:type="dxa" w:w="1800"/>
            <w:tcBorders>
              <w:top w:val="single" w:color="CCCCCC" w:sz="1"/>
              <w:left w:val="single" w:color="CCCCCC" w:sz="1"/>
              <w:bottom w:val="single" w:color="CCCCCC" w:sz="1"/>
              <w:right w:val="single" w:color="CCCCCC" w:sz="1"/>
            </w:tcBorders>
            <w:shd w:fill="F5F8FB" w:val="clear"/>
            <w:tcMar>
              <w:top w:type="dxa" w:w="100"/>
              <w:left w:type="dxa" w:w="100"/>
              <w:bottom w:type="dxa" w:w="100"/>
              <w:right w:type="dxa" w:w="100"/>
            </w:tcMar>
          </w:tcPr>
          <w:p>
            <w:r>
              <w:rPr>
                <w:rFonts w:ascii="Arial" w:cs="Arial" w:eastAsia="Arial" w:hAnsi="Arial"/>
                <w:color w:val="4A5568"/>
                <w:sz w:val="20"/>
                <w:szCs w:val="20"/>
              </w:rPr>
              <w:t xml:space="preserve">Weeks 8–13</w:t>
            </w:r>
          </w:p>
        </w:tc>
        <w:tc>
          <w:tcPr>
            <w:tcW w:type="dxa" w:w="3960"/>
            <w:tcBorders>
              <w:top w:val="single" w:color="CCCCCC" w:sz="1"/>
              <w:left w:val="single" w:color="CCCCCC" w:sz="1"/>
              <w:bottom w:val="single" w:color="CCCCCC" w:sz="1"/>
              <w:right w:val="single" w:color="CCCCCC" w:sz="1"/>
            </w:tcBorders>
            <w:shd w:fill="F5F8FB" w:val="clear"/>
            <w:tcMar>
              <w:top w:type="dxa" w:w="100"/>
              <w:left w:type="dxa" w:w="160"/>
              <w:bottom w:type="dxa" w:w="100"/>
              <w:right w:type="dxa" w:w="120"/>
            </w:tcMar>
          </w:tcPr>
          <w:p>
            <w:r>
              <w:rPr>
                <w:rFonts w:ascii="Arial" w:cs="Arial" w:eastAsia="Arial" w:hAnsi="Arial"/>
                <w:i/>
                <w:iCs/>
                <w:color w:val="333333"/>
                <w:sz w:val="20"/>
                <w:szCs w:val="20"/>
              </w:rPr>
              <w:t xml:space="preserve">3x/week content calendar; 500+ followers by end of Q3; 2+ inbound B2B inquiries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r>
              <w:rPr>
                <w:rFonts w:ascii="Arial" w:cs="Arial" w:eastAsia="Arial" w:hAnsi="Arial"/>
                <w:b/>
                <w:bCs/>
                <w:color w:val="0D6E6E"/>
                <w:sz w:val="20"/>
                <w:szCs w:val="20"/>
              </w:rPr>
              <w:t xml:space="preserve">Content Marketing Engine Launch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4A5568"/>
                <w:sz w:val="20"/>
                <w:szCs w:val="20"/>
              </w:rPr>
              <w:t xml:space="preserve">Weeks 9–11</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i/>
                <w:iCs/>
                <w:color w:val="333333"/>
                <w:sz w:val="20"/>
                <w:szCs w:val="20"/>
              </w:rPr>
              <w:t xml:space="preserve">Blog live; Kenya Land &amp; Property Digest published (Month 1 edition); SEO foundations set</w:t>
            </w:r>
          </w:p>
        </w:tc>
      </w:tr>
      <w:tr>
        <w:tc>
          <w:tcPr>
            <w:tcW w:type="dxa" w:w="3600"/>
            <w:tcBorders>
              <w:top w:val="single" w:color="CCCCCC" w:sz="1"/>
              <w:left w:val="single" w:color="CCCCCC" w:sz="1"/>
              <w:bottom w:val="single" w:color="CCCCCC" w:sz="1"/>
              <w:right w:val="single" w:color="CCCCCC" w:sz="1"/>
            </w:tcBorders>
            <w:shd w:fill="F5F8FB" w:val="clear"/>
            <w:tcMar>
              <w:top w:type="dxa" w:w="100"/>
              <w:left w:type="dxa" w:w="160"/>
              <w:bottom w:type="dxa" w:w="100"/>
              <w:right w:type="dxa" w:w="100"/>
            </w:tcMar>
          </w:tcPr>
          <w:p>
            <w:r>
              <w:rPr>
                <w:rFonts w:ascii="Arial" w:cs="Arial" w:eastAsia="Arial" w:hAnsi="Arial"/>
                <w:b/>
                <w:bCs/>
                <w:color w:val="0D6E6E"/>
                <w:sz w:val="20"/>
                <w:szCs w:val="20"/>
              </w:rPr>
              <w:t xml:space="preserve">AI Lead Qualification System</w:t>
            </w:r>
          </w:p>
        </w:tc>
        <w:tc>
          <w:tcPr>
            <w:tcW w:type="dxa" w:w="1800"/>
            <w:tcBorders>
              <w:top w:val="single" w:color="CCCCCC" w:sz="1"/>
              <w:left w:val="single" w:color="CCCCCC" w:sz="1"/>
              <w:bottom w:val="single" w:color="CCCCCC" w:sz="1"/>
              <w:right w:val="single" w:color="CCCCCC" w:sz="1"/>
            </w:tcBorders>
            <w:shd w:fill="F5F8FB" w:val="clear"/>
            <w:tcMar>
              <w:top w:type="dxa" w:w="100"/>
              <w:left w:type="dxa" w:w="100"/>
              <w:bottom w:type="dxa" w:w="100"/>
              <w:right w:type="dxa" w:w="100"/>
            </w:tcMar>
          </w:tcPr>
          <w:p>
            <w:r>
              <w:rPr>
                <w:rFonts w:ascii="Arial" w:cs="Arial" w:eastAsia="Arial" w:hAnsi="Arial"/>
                <w:color w:val="4A5568"/>
                <w:sz w:val="20"/>
                <w:szCs w:val="20"/>
              </w:rPr>
              <w:t xml:space="preserve">Weeks 10–12</w:t>
            </w:r>
          </w:p>
        </w:tc>
        <w:tc>
          <w:tcPr>
            <w:tcW w:type="dxa" w:w="3960"/>
            <w:tcBorders>
              <w:top w:val="single" w:color="CCCCCC" w:sz="1"/>
              <w:left w:val="single" w:color="CCCCCC" w:sz="1"/>
              <w:bottom w:val="single" w:color="CCCCCC" w:sz="1"/>
              <w:right w:val="single" w:color="CCCCCC" w:sz="1"/>
            </w:tcBorders>
            <w:shd w:fill="F5F8FB" w:val="clear"/>
            <w:tcMar>
              <w:top w:type="dxa" w:w="100"/>
              <w:left w:type="dxa" w:w="160"/>
              <w:bottom w:type="dxa" w:w="100"/>
              <w:right w:type="dxa" w:w="120"/>
            </w:tcMar>
          </w:tcPr>
          <w:p>
            <w:r>
              <w:rPr>
                <w:rFonts w:ascii="Arial" w:cs="Arial" w:eastAsia="Arial" w:hAnsi="Arial"/>
                <w:i/>
                <w:iCs/>
                <w:color w:val="333333"/>
                <w:sz w:val="20"/>
                <w:szCs w:val="20"/>
              </w:rPr>
              <w:t xml:space="preserve">AI-assisted lead scoring live in CRM; automated SPICED pre-qualification for inbound leads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r>
              <w:rPr>
                <w:rFonts w:ascii="Arial" w:cs="Arial" w:eastAsia="Arial" w:hAnsi="Arial"/>
                <w:b/>
                <w:bCs/>
                <w:color w:val="0D6E6E"/>
                <w:sz w:val="20"/>
                <w:szCs w:val="20"/>
              </w:rPr>
              <w:t xml:space="preserve">WhatsApp Follow-Up Automation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4A5568"/>
                <w:sz w:val="20"/>
                <w:szCs w:val="20"/>
              </w:rPr>
              <w:t xml:space="preserve">Weeks 11–13</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i/>
                <w:iCs/>
                <w:color w:val="333333"/>
                <w:sz w:val="20"/>
                <w:szCs w:val="20"/>
              </w:rPr>
              <w:t xml:space="preserve">5-touch automated follow-up cadence live; lead leak rate reduced by target of 25%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6E6E" w:val="clear"/>
            <w:tcMar>
              <w:top w:type="dxa" w:w="160"/>
              <w:left w:type="dxa" w:w="200"/>
              <w:bottom w:type="dxa" w:w="160"/>
              <w:right w:type="dxa" w:w="200"/>
            </w:tcMar>
            <w:vAlign w:val="center"/>
          </w:tcPr>
          <w:p>
            <w:pPr>
              <w:jc w:val="center"/>
            </w:pPr>
            <w:r>
              <w:rPr>
                <w:rFonts w:ascii="Arial" w:cs="Arial" w:eastAsia="Arial" w:hAnsi="Arial"/>
                <w:b/>
                <w:bCs/>
                <w:color w:val="FFFFFF"/>
                <w:sz w:val="32"/>
                <w:szCs w:val="32"/>
              </w:rPr>
              <w:t xml:space="preserve">Q4</w:t>
            </w:r>
          </w:p>
        </w:tc>
        <w:tc>
          <w:tcPr>
            <w:tcW w:type="dxa" w:w="7960"/>
            <w:tcBorders>
              <w:top w:val="none" w:color="FFFFFF" w:sz="0"/>
              <w:left w:val="none" w:color="FFFFFF" w:sz="0"/>
              <w:bottom w:val="none" w:color="FFFFFF" w:sz="0"/>
              <w:right w:val="none" w:color="FFFFFF" w:sz="0"/>
            </w:tcBorders>
            <w:shd w:fill="1B2A4A" w:val="clear"/>
            <w:tcMar>
              <w:top w:type="dxa" w:w="160"/>
              <w:left w:type="dxa" w:w="280"/>
              <w:bottom w:type="dxa" w:w="160"/>
              <w:right w:type="dxa" w:w="200"/>
            </w:tcMar>
          </w:tcPr>
          <w:p>
            <w:pPr>
              <w:spacing w:after="60"/>
            </w:pPr>
            <w:r>
              <w:rPr>
                <w:rFonts w:ascii="Arial" w:cs="Arial" w:eastAsia="Arial" w:hAnsi="Arial"/>
                <w:b/>
                <w:bCs/>
                <w:color w:val="FFFFFF"/>
                <w:sz w:val="26"/>
                <w:szCs w:val="26"/>
              </w:rPr>
              <w:t xml:space="preserve">SCALE — October to December 2026</w:t>
            </w:r>
          </w:p>
          <w:p>
            <w:r>
              <w:rPr>
                <w:rFonts w:ascii="Arial" w:cs="Arial" w:eastAsia="Arial" w:hAnsi="Arial"/>
                <w:i/>
                <w:iCs/>
                <w:color w:val="AABCCE"/>
                <w:sz w:val="20"/>
                <w:szCs w:val="20"/>
              </w:rPr>
              <w:t xml:space="preserve">Institutionalise &amp; Grow: reporting dashboard, AI Memory, optimisation, independence handoff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none" w:color="FFFFFF" w:sz="0"/>
              <w:left w:val="none" w:color="FFFFFF" w:sz="0"/>
              <w:bottom w:val="none" w:color="FFFFFF" w:sz="0"/>
              <w:right w:val="none" w:color="FFFFFF" w:sz="0"/>
            </w:tcBorders>
            <w:shd w:fill="E8EEF4" w:val="clear"/>
            <w:tcMar>
              <w:top w:type="dxa" w:w="80"/>
              <w:left w:type="dxa" w:w="160"/>
              <w:bottom w:type="dxa" w:w="80"/>
              <w:right w:type="dxa" w:w="100"/>
            </w:tcMar>
          </w:tcPr>
          <w:p>
            <w:r>
              <w:rPr>
                <w:rFonts w:ascii="Arial" w:cs="Arial" w:eastAsia="Arial" w:hAnsi="Arial"/>
                <w:b/>
                <w:bCs/>
                <w:color w:val="1B2A4A"/>
                <w:sz w:val="17"/>
                <w:szCs w:val="17"/>
              </w:rPr>
              <w:t xml:space="preserve">PRIORITY ACTION</w:t>
            </w:r>
          </w:p>
        </w:tc>
        <w:tc>
          <w:tcPr>
            <w:tcW w:type="dxa" w:w="1800"/>
            <w:tcBorders>
              <w:top w:val="none" w:color="FFFFFF" w:sz="0"/>
              <w:left w:val="none" w:color="FFFFFF" w:sz="0"/>
              <w:bottom w:val="none" w:color="FFFFFF" w:sz="0"/>
              <w:right w:val="none" w:color="FFFFFF" w:sz="0"/>
            </w:tcBorders>
            <w:shd w:fill="E8EEF4" w:val="clear"/>
            <w:tcMar>
              <w:top w:type="dxa" w:w="80"/>
              <w:left w:type="dxa" w:w="160"/>
              <w:bottom w:type="dxa" w:w="80"/>
              <w:right w:type="dxa" w:w="100"/>
            </w:tcMar>
          </w:tcPr>
          <w:p>
            <w:r>
              <w:rPr>
                <w:rFonts w:ascii="Arial" w:cs="Arial" w:eastAsia="Arial" w:hAnsi="Arial"/>
                <w:b/>
                <w:bCs/>
                <w:color w:val="1B2A4A"/>
                <w:sz w:val="17"/>
                <w:szCs w:val="17"/>
              </w:rPr>
              <w:t xml:space="preserve">TIMELINE</w:t>
            </w:r>
          </w:p>
        </w:tc>
        <w:tc>
          <w:tcPr>
            <w:tcW w:type="dxa" w:w="3960"/>
            <w:tcBorders>
              <w:top w:val="none" w:color="FFFFFF" w:sz="0"/>
              <w:left w:val="none" w:color="FFFFFF" w:sz="0"/>
              <w:bottom w:val="none" w:color="FFFFFF" w:sz="0"/>
              <w:right w:val="none" w:color="FFFFFF" w:sz="0"/>
            </w:tcBorders>
            <w:shd w:fill="E8EEF4" w:val="clear"/>
            <w:tcMar>
              <w:top w:type="dxa" w:w="80"/>
              <w:left w:type="dxa" w:w="160"/>
              <w:bottom w:type="dxa" w:w="80"/>
              <w:right w:type="dxa" w:w="100"/>
            </w:tcMar>
          </w:tcPr>
          <w:p>
            <w:r>
              <w:rPr>
                <w:rFonts w:ascii="Arial" w:cs="Arial" w:eastAsia="Arial" w:hAnsi="Arial"/>
                <w:b/>
                <w:bCs/>
                <w:color w:val="1B2A4A"/>
                <w:sz w:val="17"/>
                <w:szCs w:val="17"/>
              </w:rPr>
              <w:t xml:space="preserve">TARGET OUTCOME</w:t>
            </w:r>
          </w:p>
        </w:tc>
      </w:tr>
      <w:tr>
        <w:tc>
          <w:tcPr>
            <w:tcW w:type="dxa" w:w="3600"/>
            <w:tcBorders>
              <w:top w:val="single" w:color="CCCCCC" w:sz="1"/>
              <w:left w:val="single" w:color="CCCCCC" w:sz="1"/>
              <w:bottom w:val="single" w:color="CCCCCC" w:sz="1"/>
              <w:right w:val="single" w:color="CCCCCC" w:sz="1"/>
            </w:tcBorders>
            <w:shd w:fill="F5F8FB" w:val="clear"/>
            <w:tcMar>
              <w:top w:type="dxa" w:w="100"/>
              <w:left w:type="dxa" w:w="160"/>
              <w:bottom w:type="dxa" w:w="100"/>
              <w:right w:type="dxa" w:w="100"/>
            </w:tcMar>
          </w:tcPr>
          <w:p>
            <w:r>
              <w:rPr>
                <w:rFonts w:ascii="Arial" w:cs="Arial" w:eastAsia="Arial" w:hAnsi="Arial"/>
                <w:b/>
                <w:bCs/>
                <w:color w:val="0D6E6E"/>
                <w:sz w:val="20"/>
                <w:szCs w:val="20"/>
              </w:rPr>
              <w:t xml:space="preserve">Full-Funnel Reporting Dashboard</w:t>
            </w:r>
          </w:p>
        </w:tc>
        <w:tc>
          <w:tcPr>
            <w:tcW w:type="dxa" w:w="1800"/>
            <w:tcBorders>
              <w:top w:val="single" w:color="CCCCCC" w:sz="1"/>
              <w:left w:val="single" w:color="CCCCCC" w:sz="1"/>
              <w:bottom w:val="single" w:color="CCCCCC" w:sz="1"/>
              <w:right w:val="single" w:color="CCCCCC" w:sz="1"/>
            </w:tcBorders>
            <w:shd w:fill="F5F8FB" w:val="clear"/>
            <w:tcMar>
              <w:top w:type="dxa" w:w="100"/>
              <w:left w:type="dxa" w:w="100"/>
              <w:bottom w:type="dxa" w:w="100"/>
              <w:right w:type="dxa" w:w="100"/>
            </w:tcMar>
          </w:tcPr>
          <w:p>
            <w:r>
              <w:rPr>
                <w:rFonts w:ascii="Arial" w:cs="Arial" w:eastAsia="Arial" w:hAnsi="Arial"/>
                <w:color w:val="4A5568"/>
                <w:sz w:val="20"/>
                <w:szCs w:val="20"/>
              </w:rPr>
              <w:t xml:space="preserve">Weeks 14–16</w:t>
            </w:r>
          </w:p>
        </w:tc>
        <w:tc>
          <w:tcPr>
            <w:tcW w:type="dxa" w:w="3960"/>
            <w:tcBorders>
              <w:top w:val="single" w:color="CCCCCC" w:sz="1"/>
              <w:left w:val="single" w:color="CCCCCC" w:sz="1"/>
              <w:bottom w:val="single" w:color="CCCCCC" w:sz="1"/>
              <w:right w:val="single" w:color="CCCCCC" w:sz="1"/>
            </w:tcBorders>
            <w:shd w:fill="F5F8FB" w:val="clear"/>
            <w:tcMar>
              <w:top w:type="dxa" w:w="100"/>
              <w:left w:type="dxa" w:w="160"/>
              <w:bottom w:type="dxa" w:w="100"/>
              <w:right w:type="dxa" w:w="120"/>
            </w:tcMar>
          </w:tcPr>
          <w:p>
            <w:r>
              <w:rPr>
                <w:rFonts w:ascii="Arial" w:cs="Arial" w:eastAsia="Arial" w:hAnsi="Arial"/>
                <w:i/>
                <w:iCs/>
                <w:color w:val="333333"/>
                <w:sz w:val="20"/>
                <w:szCs w:val="20"/>
              </w:rPr>
              <w:t xml:space="preserve">Live analytics dashboard: lead source attribution, stage conversion, revenue forecast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r>
              <w:rPr>
                <w:rFonts w:ascii="Arial" w:cs="Arial" w:eastAsia="Arial" w:hAnsi="Arial"/>
                <w:b/>
                <w:bCs/>
                <w:color w:val="0D6E6E"/>
                <w:sz w:val="20"/>
                <w:szCs w:val="20"/>
              </w:rPr>
              <w:t xml:space="preserve">AI Memory Brain Deployment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4A5568"/>
                <w:sz w:val="20"/>
                <w:szCs w:val="20"/>
              </w:rPr>
              <w:t xml:space="preserve">Weeks 14–17</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i/>
                <w:iCs/>
                <w:color w:val="333333"/>
                <w:sz w:val="20"/>
                <w:szCs w:val="20"/>
              </w:rPr>
              <w:t xml:space="preserve">PRL-configured AI assistant with contact profiles, property data, and follow-up templates</w:t>
            </w:r>
          </w:p>
        </w:tc>
      </w:tr>
      <w:tr>
        <w:tc>
          <w:tcPr>
            <w:tcW w:type="dxa" w:w="3600"/>
            <w:tcBorders>
              <w:top w:val="single" w:color="CCCCCC" w:sz="1"/>
              <w:left w:val="single" w:color="CCCCCC" w:sz="1"/>
              <w:bottom w:val="single" w:color="CCCCCC" w:sz="1"/>
              <w:right w:val="single" w:color="CCCCCC" w:sz="1"/>
            </w:tcBorders>
            <w:shd w:fill="F5F8FB" w:val="clear"/>
            <w:tcMar>
              <w:top w:type="dxa" w:w="100"/>
              <w:left w:type="dxa" w:w="160"/>
              <w:bottom w:type="dxa" w:w="100"/>
              <w:right w:type="dxa" w:w="100"/>
            </w:tcMar>
          </w:tcPr>
          <w:p>
            <w:r>
              <w:rPr>
                <w:rFonts w:ascii="Arial" w:cs="Arial" w:eastAsia="Arial" w:hAnsi="Arial"/>
                <w:b/>
                <w:bCs/>
                <w:color w:val="0D6E6E"/>
                <w:sz w:val="20"/>
                <w:szCs w:val="20"/>
              </w:rPr>
              <w:t xml:space="preserve">Diaspora Funnel Optimisation</w:t>
            </w:r>
          </w:p>
        </w:tc>
        <w:tc>
          <w:tcPr>
            <w:tcW w:type="dxa" w:w="1800"/>
            <w:tcBorders>
              <w:top w:val="single" w:color="CCCCCC" w:sz="1"/>
              <w:left w:val="single" w:color="CCCCCC" w:sz="1"/>
              <w:bottom w:val="single" w:color="CCCCCC" w:sz="1"/>
              <w:right w:val="single" w:color="CCCCCC" w:sz="1"/>
            </w:tcBorders>
            <w:shd w:fill="F5F8FB" w:val="clear"/>
            <w:tcMar>
              <w:top w:type="dxa" w:w="100"/>
              <w:left w:type="dxa" w:w="100"/>
              <w:bottom w:type="dxa" w:w="100"/>
              <w:right w:type="dxa" w:w="100"/>
            </w:tcMar>
          </w:tcPr>
          <w:p>
            <w:r>
              <w:rPr>
                <w:rFonts w:ascii="Arial" w:cs="Arial" w:eastAsia="Arial" w:hAnsi="Arial"/>
                <w:color w:val="4A5568"/>
                <w:sz w:val="20"/>
                <w:szCs w:val="20"/>
              </w:rPr>
              <w:t xml:space="preserve">Weeks 15–18</w:t>
            </w:r>
          </w:p>
        </w:tc>
        <w:tc>
          <w:tcPr>
            <w:tcW w:type="dxa" w:w="3960"/>
            <w:tcBorders>
              <w:top w:val="single" w:color="CCCCCC" w:sz="1"/>
              <w:left w:val="single" w:color="CCCCCC" w:sz="1"/>
              <w:bottom w:val="single" w:color="CCCCCC" w:sz="1"/>
              <w:right w:val="single" w:color="CCCCCC" w:sz="1"/>
            </w:tcBorders>
            <w:shd w:fill="F5F8FB" w:val="clear"/>
            <w:tcMar>
              <w:top w:type="dxa" w:w="100"/>
              <w:left w:type="dxa" w:w="160"/>
              <w:bottom w:type="dxa" w:w="100"/>
              <w:right w:type="dxa" w:w="120"/>
            </w:tcMar>
          </w:tcPr>
          <w:p>
            <w:r>
              <w:rPr>
                <w:rFonts w:ascii="Arial" w:cs="Arial" w:eastAsia="Arial" w:hAnsi="Arial"/>
                <w:i/>
                <w:iCs/>
                <w:color w:val="333333"/>
                <w:sz w:val="20"/>
                <w:szCs w:val="20"/>
              </w:rPr>
              <w:t xml:space="preserve">Meta Ad ROAS analysis; A/B tested creative; cost-per-qualified-lead target: &lt; KES 5,000</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r>
              <w:rPr>
                <w:rFonts w:ascii="Arial" w:cs="Arial" w:eastAsia="Arial" w:hAnsi="Arial"/>
                <w:b/>
                <w:bCs/>
                <w:color w:val="0D6E6E"/>
                <w:sz w:val="20"/>
                <w:szCs w:val="20"/>
              </w:rPr>
              <w:t xml:space="preserve">Property Management Upsell System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4A5568"/>
                <w:sz w:val="20"/>
                <w:szCs w:val="20"/>
              </w:rPr>
              <w:t xml:space="preserve">Weeks 16–18</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i/>
                <w:iCs/>
                <w:color w:val="333333"/>
                <w:sz w:val="20"/>
                <w:szCs w:val="20"/>
              </w:rPr>
              <w:t xml:space="preserve">Automated landlord advisory cross-sell sequence; target: 3 new PM retainer clients</w:t>
            </w:r>
          </w:p>
        </w:tc>
      </w:tr>
      <w:tr>
        <w:tc>
          <w:tcPr>
            <w:tcW w:type="dxa" w:w="3600"/>
            <w:tcBorders>
              <w:top w:val="single" w:color="CCCCCC" w:sz="1"/>
              <w:left w:val="single" w:color="CCCCCC" w:sz="1"/>
              <w:bottom w:val="single" w:color="CCCCCC" w:sz="1"/>
              <w:right w:val="single" w:color="CCCCCC" w:sz="1"/>
            </w:tcBorders>
            <w:shd w:fill="F5F8FB" w:val="clear"/>
            <w:tcMar>
              <w:top w:type="dxa" w:w="100"/>
              <w:left w:type="dxa" w:w="160"/>
              <w:bottom w:type="dxa" w:w="100"/>
              <w:right w:type="dxa" w:w="100"/>
            </w:tcMar>
          </w:tcPr>
          <w:p>
            <w:r>
              <w:rPr>
                <w:rFonts w:ascii="Arial" w:cs="Arial" w:eastAsia="Arial" w:hAnsi="Arial"/>
                <w:b/>
                <w:bCs/>
                <w:color w:val="0D6E6E"/>
                <w:sz w:val="20"/>
                <w:szCs w:val="20"/>
              </w:rPr>
              <w:t xml:space="preserve">Quarterly Business Review System</w:t>
            </w:r>
          </w:p>
        </w:tc>
        <w:tc>
          <w:tcPr>
            <w:tcW w:type="dxa" w:w="1800"/>
            <w:tcBorders>
              <w:top w:val="single" w:color="CCCCCC" w:sz="1"/>
              <w:left w:val="single" w:color="CCCCCC" w:sz="1"/>
              <w:bottom w:val="single" w:color="CCCCCC" w:sz="1"/>
              <w:right w:val="single" w:color="CCCCCC" w:sz="1"/>
            </w:tcBorders>
            <w:shd w:fill="F5F8FB" w:val="clear"/>
            <w:tcMar>
              <w:top w:type="dxa" w:w="100"/>
              <w:left w:type="dxa" w:w="100"/>
              <w:bottom w:type="dxa" w:w="100"/>
              <w:right w:type="dxa" w:w="100"/>
            </w:tcMar>
          </w:tcPr>
          <w:p>
            <w:r>
              <w:rPr>
                <w:rFonts w:ascii="Arial" w:cs="Arial" w:eastAsia="Arial" w:hAnsi="Arial"/>
                <w:color w:val="4A5568"/>
                <w:sz w:val="20"/>
                <w:szCs w:val="20"/>
              </w:rPr>
              <w:t xml:space="preserve">Week 18</w:t>
            </w:r>
          </w:p>
        </w:tc>
        <w:tc>
          <w:tcPr>
            <w:tcW w:type="dxa" w:w="3960"/>
            <w:tcBorders>
              <w:top w:val="single" w:color="CCCCCC" w:sz="1"/>
              <w:left w:val="single" w:color="CCCCCC" w:sz="1"/>
              <w:bottom w:val="single" w:color="CCCCCC" w:sz="1"/>
              <w:right w:val="single" w:color="CCCCCC" w:sz="1"/>
            </w:tcBorders>
            <w:shd w:fill="F5F8FB" w:val="clear"/>
            <w:tcMar>
              <w:top w:type="dxa" w:w="100"/>
              <w:left w:type="dxa" w:w="160"/>
              <w:bottom w:type="dxa" w:w="100"/>
              <w:right w:type="dxa" w:w="120"/>
            </w:tcMar>
          </w:tcPr>
          <w:p>
            <w:r>
              <w:rPr>
                <w:rFonts w:ascii="Arial" w:cs="Arial" w:eastAsia="Arial" w:hAnsi="Arial"/>
                <w:i/>
                <w:iCs/>
                <w:color w:val="333333"/>
                <w:sz w:val="20"/>
                <w:szCs w:val="20"/>
              </w:rPr>
              <w:t xml:space="preserve">Leadership QBR framework: what to measure, what to decide, what to act 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r>
              <w:rPr>
                <w:rFonts w:ascii="Arial" w:cs="Arial" w:eastAsia="Arial" w:hAnsi="Arial"/>
                <w:b/>
                <w:bCs/>
                <w:color w:val="0D6E6E"/>
                <w:sz w:val="20"/>
                <w:szCs w:val="20"/>
              </w:rPr>
              <w:t xml:space="preserve">Independence Handoff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4A5568"/>
                <w:sz w:val="20"/>
                <w:szCs w:val="20"/>
              </w:rPr>
              <w:t xml:space="preserve">Week 18</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i/>
                <w:iCs/>
                <w:color w:val="333333"/>
                <w:sz w:val="20"/>
                <w:szCs w:val="20"/>
              </w:rPr>
              <w:t xml:space="preserve">All systems documented; team fully trained; RevOps SOP customised and transferred</w:t>
            </w:r>
          </w:p>
        </w:tc>
      </w:tr>
    </w:tbl>
    <w:p>
      <w:pPr>
        <w:spacing w:after="80" w:before="80"/>
      </w:pPr>
      <w:r>
        <w:t xml:space="preserve"/>
      </w:r>
    </w:p>
    <w:p>
      <w:r>
        <w:br w:type="page"/>
      </w:r>
    </w:p>
    <w:p>
      <w:pPr>
        <w:spacing w:after="80" w:before="360"/>
      </w:pPr>
      <w:r>
        <w:rPr>
          <w:rFonts w:ascii="Arial" w:cs="Arial" w:eastAsia="Arial" w:hAnsi="Arial"/>
          <w:b/>
          <w:bCs/>
          <w:color w:val="0D6E6E"/>
          <w:sz w:val="18"/>
          <w:szCs w:val="18"/>
        </w:rPr>
        <w:t xml:space="preserve">SECTION 07</w:t>
      </w:r>
    </w:p>
    <w:p>
      <w:pPr>
        <w:pStyle w:val="Heading1"/>
        <w:spacing w:after="160" w:before="120"/>
      </w:pPr>
      <w:r>
        <w:rPr>
          <w:rFonts w:ascii="Arial" w:cs="Arial" w:eastAsia="Arial" w:hAnsi="Arial"/>
          <w:b/>
          <w:bCs/>
          <w:color w:val="1B2A4A"/>
          <w:sz w:val="36"/>
          <w:szCs w:val="36"/>
        </w:rPr>
        <w:t xml:space="preserve">Performance Benchmarks</w:t>
      </w:r>
    </w:p>
    <w:p>
      <w:pPr>
        <w:spacing w:after="100" w:before="80"/>
        <w:jc w:val="left"/>
      </w:pPr>
      <w:r>
        <w:rPr>
          <w:rFonts w:ascii="Arial" w:cs="Arial" w:eastAsia="Arial" w:hAnsi="Arial"/>
          <w:b w:val="false"/>
          <w:bCs w:val="false"/>
          <w:i w:val="false"/>
          <w:iCs w:val="false"/>
          <w:color w:val="333333"/>
          <w:sz w:val="22"/>
          <w:szCs w:val="22"/>
        </w:rPr>
        <w:t xml:space="preserve">The following table establishes the current-state baseline for each key revenue metric and defines the target state benchmarks against which progress should be measured. Baselines marked as 'unknown' will be formally documented during a structured RevOps audit in the first 30 days of any implementation engagement.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3600"/>
      </w:tblGrid>
      <w:tr>
        <w:tc>
          <w:tcPr>
            <w:tcW w:type="dxa" w:w="3360"/>
            <w:tcBorders>
              <w:top w:val="none" w:color="FFFFFF" w:sz="0"/>
              <w:left w:val="none" w:color="FFFFFF" w:sz="0"/>
              <w:bottom w:val="none" w:color="FFFFFF" w:sz="0"/>
              <w:right w:val="none" w:color="FFFFFF" w:sz="0"/>
            </w:tcBorders>
            <w:shd w:fill="1B2A4A" w:val="clear"/>
            <w:tcMar>
              <w:top w:type="dxa" w:w="100"/>
              <w:left w:type="dxa" w:w="160"/>
              <w:bottom w:type="dxa" w:w="100"/>
              <w:right w:type="dxa" w:w="100"/>
            </w:tcMar>
          </w:tcPr>
          <w:p>
            <w:r>
              <w:rPr>
                <w:rFonts w:ascii="Arial" w:cs="Arial" w:eastAsia="Arial" w:hAnsi="Arial"/>
                <w:b/>
                <w:bCs/>
                <w:color w:val="C9A84C"/>
                <w:sz w:val="18"/>
                <w:szCs w:val="18"/>
              </w:rPr>
              <w:t xml:space="preserve">PERFORMANCE METRIC</w:t>
            </w:r>
          </w:p>
        </w:tc>
        <w:tc>
          <w:tcPr>
            <w:tcW w:type="dxa" w:w="2400"/>
            <w:tcBorders>
              <w:top w:val="none" w:color="FFFFFF" w:sz="0"/>
              <w:left w:val="none" w:color="FFFFFF" w:sz="0"/>
              <w:bottom w:val="none" w:color="FFFFFF" w:sz="0"/>
              <w:right w:val="none" w:color="FFFFFF" w:sz="0"/>
            </w:tcBorders>
            <w:shd w:fill="1B2A4A" w:val="clear"/>
            <w:tcMar>
              <w:top w:type="dxa" w:w="100"/>
              <w:left w:type="dxa" w:w="160"/>
              <w:bottom w:type="dxa" w:w="100"/>
              <w:right w:type="dxa" w:w="100"/>
            </w:tcMar>
          </w:tcPr>
          <w:p>
            <w:r>
              <w:rPr>
                <w:rFonts w:ascii="Arial" w:cs="Arial" w:eastAsia="Arial" w:hAnsi="Arial"/>
                <w:b/>
                <w:bCs/>
                <w:color w:val="C9A84C"/>
                <w:sz w:val="18"/>
                <w:szCs w:val="18"/>
              </w:rPr>
              <w:t xml:space="preserve">CURRENT STATE</w:t>
            </w:r>
          </w:p>
        </w:tc>
        <w:tc>
          <w:tcPr>
            <w:tcW w:type="dxa" w:w="3600"/>
            <w:tcBorders>
              <w:top w:val="none" w:color="FFFFFF" w:sz="0"/>
              <w:left w:val="none" w:color="FFFFFF" w:sz="0"/>
              <w:bottom w:val="none" w:color="FFFFFF" w:sz="0"/>
              <w:right w:val="none" w:color="FFFFFF" w:sz="0"/>
            </w:tcBorders>
            <w:shd w:fill="1B2A4A" w:val="clear"/>
            <w:tcMar>
              <w:top w:type="dxa" w:w="100"/>
              <w:left w:type="dxa" w:w="160"/>
              <w:bottom w:type="dxa" w:w="100"/>
              <w:right w:type="dxa" w:w="100"/>
            </w:tcMar>
          </w:tcPr>
          <w:p>
            <w:r>
              <w:rPr>
                <w:rFonts w:ascii="Arial" w:cs="Arial" w:eastAsia="Arial" w:hAnsi="Arial"/>
                <w:b/>
                <w:bCs/>
                <w:color w:val="C9A84C"/>
                <w:sz w:val="18"/>
                <w:szCs w:val="18"/>
              </w:rPr>
              <w:t xml:space="preserve">BENCHMARK TARGET</w:t>
            </w:r>
          </w:p>
        </w:tc>
      </w:tr>
      <w:tr>
        <w:tc>
          <w:tcPr>
            <w:tcW w:type="dxa" w:w="336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00"/>
            </w:tcMar>
          </w:tcPr>
          <w:p>
            <w:r>
              <w:rPr>
                <w:rFonts w:ascii="Arial" w:cs="Arial" w:eastAsia="Arial" w:hAnsi="Arial"/>
                <w:b/>
                <w:bCs/>
                <w:color w:val="1B2A4A"/>
                <w:sz w:val="20"/>
                <w:szCs w:val="20"/>
              </w:rPr>
              <w:t xml:space="preserve">CRM Lead Capture Rate</w:t>
            </w:r>
          </w:p>
        </w:tc>
        <w:tc>
          <w:tcPr>
            <w:tcW w:type="dxa" w:w="2400"/>
            <w:tcBorders>
              <w:top w:val="single" w:color="CCCCCC" w:sz="1"/>
              <w:left w:val="single" w:color="CCCCCC" w:sz="1"/>
              <w:bottom w:val="single" w:color="CCCCCC" w:sz="1"/>
              <w:right w:val="single" w:color="CCCCCC" w:sz="1"/>
            </w:tcBorders>
            <w:shd w:fill="FEF3E2" w:val="clear"/>
            <w:tcMar>
              <w:top w:type="dxa" w:w="120"/>
              <w:left w:type="dxa" w:w="160"/>
              <w:bottom w:type="dxa" w:w="120"/>
              <w:right w:type="dxa" w:w="100"/>
            </w:tcMar>
          </w:tcPr>
          <w:p>
            <w:r>
              <w:rPr>
                <w:rFonts w:ascii="Arial" w:cs="Arial" w:eastAsia="Arial" w:hAnsi="Arial"/>
                <w:color w:val="8B4513"/>
                <w:sz w:val="20"/>
                <w:szCs w:val="20"/>
              </w:rPr>
              <w:t xml:space="preserve">&lt; 40% (no CRM)</w:t>
            </w:r>
          </w:p>
        </w:tc>
        <w:tc>
          <w:tcPr>
            <w:tcW w:type="dxa" w:w="3600"/>
            <w:tcBorders>
              <w:top w:val="single" w:color="CCCCCC" w:sz="1"/>
              <w:left w:val="single" w:color="CCCCCC" w:sz="1"/>
              <w:bottom w:val="single" w:color="CCCCCC" w:sz="1"/>
              <w:right w:val="single" w:color="CCCCCC" w:sz="1"/>
            </w:tcBorders>
            <w:shd w:fill="F0F7F4" w:val="clear"/>
            <w:tcMar>
              <w:top w:type="dxa" w:w="120"/>
              <w:left w:type="dxa" w:w="160"/>
              <w:bottom w:type="dxa" w:w="120"/>
              <w:right w:type="dxa" w:w="120"/>
            </w:tcMar>
          </w:tcPr>
          <w:p>
            <w:r>
              <w:rPr>
                <w:rFonts w:ascii="Arial" w:cs="Arial" w:eastAsia="Arial" w:hAnsi="Arial"/>
                <w:b/>
                <w:bCs/>
                <w:color w:val="1A5C3A"/>
                <w:sz w:val="20"/>
                <w:szCs w:val="20"/>
              </w:rPr>
              <w:t xml:space="preserve">&gt; 95% of all inbound leads captured</w:t>
            </w:r>
          </w:p>
        </w:tc>
      </w:tr>
      <w:tr>
        <w:tc>
          <w:tcPr>
            <w:tcW w:type="dxa" w:w="3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00"/>
            </w:tcMar>
          </w:tcPr>
          <w:p>
            <w:r>
              <w:rPr>
                <w:rFonts w:ascii="Arial" w:cs="Arial" w:eastAsia="Arial" w:hAnsi="Arial"/>
                <w:b/>
                <w:bCs/>
                <w:color w:val="1B2A4A"/>
                <w:sz w:val="20"/>
                <w:szCs w:val="20"/>
              </w:rPr>
              <w:t xml:space="preserve">Lead-to-Qualified Conversion</w:t>
            </w:r>
          </w:p>
        </w:tc>
        <w:tc>
          <w:tcPr>
            <w:tcW w:type="dxa" w:w="2400"/>
            <w:tcBorders>
              <w:top w:val="single" w:color="CCCCCC" w:sz="1"/>
              <w:left w:val="single" w:color="CCCCCC" w:sz="1"/>
              <w:bottom w:val="single" w:color="CCCCCC" w:sz="1"/>
              <w:right w:val="single" w:color="CCCCCC" w:sz="1"/>
            </w:tcBorders>
            <w:shd w:fill="FFFBF5" w:val="clear"/>
            <w:tcMar>
              <w:top w:type="dxa" w:w="120"/>
              <w:left w:type="dxa" w:w="160"/>
              <w:bottom w:type="dxa" w:w="120"/>
              <w:right w:type="dxa" w:w="100"/>
            </w:tcMar>
          </w:tcPr>
          <w:p>
            <w:r>
              <w:rPr>
                <w:rFonts w:ascii="Arial" w:cs="Arial" w:eastAsia="Arial" w:hAnsi="Arial"/>
                <w:color w:val="8B4513"/>
                <w:sz w:val="20"/>
                <w:szCs w:val="20"/>
              </w:rPr>
              <w:t xml:space="preserve">Unknown — no tracking</w:t>
            </w:r>
          </w:p>
        </w:tc>
        <w:tc>
          <w:tcPr>
            <w:tcW w:type="dxa" w:w="3600"/>
            <w:tcBorders>
              <w:top w:val="single" w:color="CCCCCC" w:sz="1"/>
              <w:left w:val="single" w:color="CCCCCC" w:sz="1"/>
              <w:bottom w:val="single" w:color="CCCCCC" w:sz="1"/>
              <w:right w:val="single" w:color="CCCCCC" w:sz="1"/>
            </w:tcBorders>
            <w:shd w:fill="F8FFF8" w:val="clear"/>
            <w:tcMar>
              <w:top w:type="dxa" w:w="120"/>
              <w:left w:type="dxa" w:w="160"/>
              <w:bottom w:type="dxa" w:w="120"/>
              <w:right w:type="dxa" w:w="120"/>
            </w:tcMar>
          </w:tcPr>
          <w:p>
            <w:r>
              <w:rPr>
                <w:rFonts w:ascii="Arial" w:cs="Arial" w:eastAsia="Arial" w:hAnsi="Arial"/>
                <w:b/>
                <w:bCs/>
                <w:color w:val="1A5C3A"/>
                <w:sz w:val="20"/>
                <w:szCs w:val="20"/>
              </w:rPr>
              <w:t xml:space="preserve">Baseline in Q2; target 20% lift by Q4</w:t>
            </w:r>
          </w:p>
        </w:tc>
      </w:tr>
      <w:tr>
        <w:tc>
          <w:tcPr>
            <w:tcW w:type="dxa" w:w="336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00"/>
            </w:tcMar>
          </w:tcPr>
          <w:p>
            <w:r>
              <w:rPr>
                <w:rFonts w:ascii="Arial" w:cs="Arial" w:eastAsia="Arial" w:hAnsi="Arial"/>
                <w:b/>
                <w:bCs/>
                <w:color w:val="1B2A4A"/>
                <w:sz w:val="20"/>
                <w:szCs w:val="20"/>
              </w:rPr>
              <w:t xml:space="preserve">Pipeline Forecast Accuracy</w:t>
            </w:r>
          </w:p>
        </w:tc>
        <w:tc>
          <w:tcPr>
            <w:tcW w:type="dxa" w:w="2400"/>
            <w:tcBorders>
              <w:top w:val="single" w:color="CCCCCC" w:sz="1"/>
              <w:left w:val="single" w:color="CCCCCC" w:sz="1"/>
              <w:bottom w:val="single" w:color="CCCCCC" w:sz="1"/>
              <w:right w:val="single" w:color="CCCCCC" w:sz="1"/>
            </w:tcBorders>
            <w:shd w:fill="FEF3E2" w:val="clear"/>
            <w:tcMar>
              <w:top w:type="dxa" w:w="120"/>
              <w:left w:type="dxa" w:w="160"/>
              <w:bottom w:type="dxa" w:w="120"/>
              <w:right w:type="dxa" w:w="100"/>
            </w:tcMar>
          </w:tcPr>
          <w:p>
            <w:r>
              <w:rPr>
                <w:rFonts w:ascii="Arial" w:cs="Arial" w:eastAsia="Arial" w:hAnsi="Arial"/>
                <w:color w:val="8B4513"/>
                <w:sz w:val="20"/>
                <w:szCs w:val="20"/>
              </w:rPr>
              <w:t xml:space="preserve">Not measured</w:t>
            </w:r>
          </w:p>
        </w:tc>
        <w:tc>
          <w:tcPr>
            <w:tcW w:type="dxa" w:w="3600"/>
            <w:tcBorders>
              <w:top w:val="single" w:color="CCCCCC" w:sz="1"/>
              <w:left w:val="single" w:color="CCCCCC" w:sz="1"/>
              <w:bottom w:val="single" w:color="CCCCCC" w:sz="1"/>
              <w:right w:val="single" w:color="CCCCCC" w:sz="1"/>
            </w:tcBorders>
            <w:shd w:fill="F0F7F4" w:val="clear"/>
            <w:tcMar>
              <w:top w:type="dxa" w:w="120"/>
              <w:left w:type="dxa" w:w="160"/>
              <w:bottom w:type="dxa" w:w="120"/>
              <w:right w:type="dxa" w:w="120"/>
            </w:tcMar>
          </w:tcPr>
          <w:p>
            <w:r>
              <w:rPr>
                <w:rFonts w:ascii="Arial" w:cs="Arial" w:eastAsia="Arial" w:hAnsi="Arial"/>
                <w:b/>
                <w:bCs/>
                <w:color w:val="1A5C3A"/>
                <w:sz w:val="20"/>
                <w:szCs w:val="20"/>
              </w:rPr>
              <w:t xml:space="preserve">Within 15% accuracy by end of Q3</w:t>
            </w:r>
          </w:p>
        </w:tc>
      </w:tr>
      <w:tr>
        <w:tc>
          <w:tcPr>
            <w:tcW w:type="dxa" w:w="3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00"/>
            </w:tcMar>
          </w:tcPr>
          <w:p>
            <w:r>
              <w:rPr>
                <w:rFonts w:ascii="Arial" w:cs="Arial" w:eastAsia="Arial" w:hAnsi="Arial"/>
                <w:b/>
                <w:bCs/>
                <w:color w:val="1B2A4A"/>
                <w:sz w:val="20"/>
                <w:szCs w:val="20"/>
              </w:rPr>
              <w:t xml:space="preserve">Diaspora Qualified Leads / Month</w:t>
            </w:r>
          </w:p>
        </w:tc>
        <w:tc>
          <w:tcPr>
            <w:tcW w:type="dxa" w:w="2400"/>
            <w:tcBorders>
              <w:top w:val="single" w:color="CCCCCC" w:sz="1"/>
              <w:left w:val="single" w:color="CCCCCC" w:sz="1"/>
              <w:bottom w:val="single" w:color="CCCCCC" w:sz="1"/>
              <w:right w:val="single" w:color="CCCCCC" w:sz="1"/>
            </w:tcBorders>
            <w:shd w:fill="FFFBF5" w:val="clear"/>
            <w:tcMar>
              <w:top w:type="dxa" w:w="120"/>
              <w:left w:type="dxa" w:w="160"/>
              <w:bottom w:type="dxa" w:w="120"/>
              <w:right w:type="dxa" w:w="100"/>
            </w:tcMar>
          </w:tcPr>
          <w:p>
            <w:r>
              <w:rPr>
                <w:rFonts w:ascii="Arial" w:cs="Arial" w:eastAsia="Arial" w:hAnsi="Arial"/>
                <w:color w:val="8B4513"/>
                <w:sz w:val="20"/>
                <w:szCs w:val="20"/>
              </w:rPr>
              <w:t xml:space="preserve">~0 (no funnel)</w:t>
            </w:r>
          </w:p>
        </w:tc>
        <w:tc>
          <w:tcPr>
            <w:tcW w:type="dxa" w:w="3600"/>
            <w:tcBorders>
              <w:top w:val="single" w:color="CCCCCC" w:sz="1"/>
              <w:left w:val="single" w:color="CCCCCC" w:sz="1"/>
              <w:bottom w:val="single" w:color="CCCCCC" w:sz="1"/>
              <w:right w:val="single" w:color="CCCCCC" w:sz="1"/>
            </w:tcBorders>
            <w:shd w:fill="F8FFF8" w:val="clear"/>
            <w:tcMar>
              <w:top w:type="dxa" w:w="120"/>
              <w:left w:type="dxa" w:w="160"/>
              <w:bottom w:type="dxa" w:w="120"/>
              <w:right w:type="dxa" w:w="120"/>
            </w:tcMar>
          </w:tcPr>
          <w:p>
            <w:r>
              <w:rPr>
                <w:rFonts w:ascii="Arial" w:cs="Arial" w:eastAsia="Arial" w:hAnsi="Arial"/>
                <w:b/>
                <w:bCs/>
                <w:color w:val="1A5C3A"/>
                <w:sz w:val="20"/>
                <w:szCs w:val="20"/>
              </w:rPr>
              <w:t xml:space="preserve">&gt; 10 qualified diaspora leads per month</w:t>
            </w:r>
          </w:p>
        </w:tc>
      </w:tr>
      <w:tr>
        <w:tc>
          <w:tcPr>
            <w:tcW w:type="dxa" w:w="336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00"/>
            </w:tcMar>
          </w:tcPr>
          <w:p>
            <w:r>
              <w:rPr>
                <w:rFonts w:ascii="Arial" w:cs="Arial" w:eastAsia="Arial" w:hAnsi="Arial"/>
                <w:b/>
                <w:bCs/>
                <w:color w:val="1B2A4A"/>
                <w:sz w:val="20"/>
                <w:szCs w:val="20"/>
              </w:rPr>
              <w:t xml:space="preserve">WhatsApp Lead Leak Rate</w:t>
            </w:r>
          </w:p>
        </w:tc>
        <w:tc>
          <w:tcPr>
            <w:tcW w:type="dxa" w:w="2400"/>
            <w:tcBorders>
              <w:top w:val="single" w:color="CCCCCC" w:sz="1"/>
              <w:left w:val="single" w:color="CCCCCC" w:sz="1"/>
              <w:bottom w:val="single" w:color="CCCCCC" w:sz="1"/>
              <w:right w:val="single" w:color="CCCCCC" w:sz="1"/>
            </w:tcBorders>
            <w:shd w:fill="FEF3E2" w:val="clear"/>
            <w:tcMar>
              <w:top w:type="dxa" w:w="120"/>
              <w:left w:type="dxa" w:w="160"/>
              <w:bottom w:type="dxa" w:w="120"/>
              <w:right w:type="dxa" w:w="100"/>
            </w:tcMar>
          </w:tcPr>
          <w:p>
            <w:r>
              <w:rPr>
                <w:rFonts w:ascii="Arial" w:cs="Arial" w:eastAsia="Arial" w:hAnsi="Arial"/>
                <w:color w:val="8B4513"/>
                <w:sz w:val="20"/>
                <w:szCs w:val="20"/>
              </w:rPr>
              <w:t xml:space="preserve">Est. 40–60%</w:t>
            </w:r>
          </w:p>
        </w:tc>
        <w:tc>
          <w:tcPr>
            <w:tcW w:type="dxa" w:w="3600"/>
            <w:tcBorders>
              <w:top w:val="single" w:color="CCCCCC" w:sz="1"/>
              <w:left w:val="single" w:color="CCCCCC" w:sz="1"/>
              <w:bottom w:val="single" w:color="CCCCCC" w:sz="1"/>
              <w:right w:val="single" w:color="CCCCCC" w:sz="1"/>
            </w:tcBorders>
            <w:shd w:fill="F0F7F4" w:val="clear"/>
            <w:tcMar>
              <w:top w:type="dxa" w:w="120"/>
              <w:left w:type="dxa" w:w="160"/>
              <w:bottom w:type="dxa" w:w="120"/>
              <w:right w:type="dxa" w:w="120"/>
            </w:tcMar>
          </w:tcPr>
          <w:p>
            <w:r>
              <w:rPr>
                <w:rFonts w:ascii="Arial" w:cs="Arial" w:eastAsia="Arial" w:hAnsi="Arial"/>
                <w:b/>
                <w:bCs/>
                <w:color w:val="1A5C3A"/>
                <w:sz w:val="20"/>
                <w:szCs w:val="20"/>
              </w:rPr>
              <w:t xml:space="preserve">&lt; 20% lead leak rate by end of Q3</w:t>
            </w:r>
          </w:p>
        </w:tc>
      </w:tr>
      <w:tr>
        <w:tc>
          <w:tcPr>
            <w:tcW w:type="dxa" w:w="3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00"/>
            </w:tcMar>
          </w:tcPr>
          <w:p>
            <w:r>
              <w:rPr>
                <w:rFonts w:ascii="Arial" w:cs="Arial" w:eastAsia="Arial" w:hAnsi="Arial"/>
                <w:b/>
                <w:bCs/>
                <w:color w:val="1B2A4A"/>
                <w:sz w:val="20"/>
                <w:szCs w:val="20"/>
              </w:rPr>
              <w:t xml:space="preserve">LinkedIn Followers</w:t>
            </w:r>
          </w:p>
        </w:tc>
        <w:tc>
          <w:tcPr>
            <w:tcW w:type="dxa" w:w="2400"/>
            <w:tcBorders>
              <w:top w:val="single" w:color="CCCCCC" w:sz="1"/>
              <w:left w:val="single" w:color="CCCCCC" w:sz="1"/>
              <w:bottom w:val="single" w:color="CCCCCC" w:sz="1"/>
              <w:right w:val="single" w:color="CCCCCC" w:sz="1"/>
            </w:tcBorders>
            <w:shd w:fill="FFFBF5" w:val="clear"/>
            <w:tcMar>
              <w:top w:type="dxa" w:w="120"/>
              <w:left w:type="dxa" w:w="160"/>
              <w:bottom w:type="dxa" w:w="120"/>
              <w:right w:type="dxa" w:w="100"/>
            </w:tcMar>
          </w:tcPr>
          <w:p>
            <w:r>
              <w:rPr>
                <w:rFonts w:ascii="Arial" w:cs="Arial" w:eastAsia="Arial" w:hAnsi="Arial"/>
                <w:color w:val="8B4513"/>
                <w:sz w:val="20"/>
                <w:szCs w:val="20"/>
              </w:rPr>
              <w:t xml:space="preserve">188 (April 2026)</w:t>
            </w:r>
          </w:p>
        </w:tc>
        <w:tc>
          <w:tcPr>
            <w:tcW w:type="dxa" w:w="3600"/>
            <w:tcBorders>
              <w:top w:val="single" w:color="CCCCCC" w:sz="1"/>
              <w:left w:val="single" w:color="CCCCCC" w:sz="1"/>
              <w:bottom w:val="single" w:color="CCCCCC" w:sz="1"/>
              <w:right w:val="single" w:color="CCCCCC" w:sz="1"/>
            </w:tcBorders>
            <w:shd w:fill="F8FFF8" w:val="clear"/>
            <w:tcMar>
              <w:top w:type="dxa" w:w="120"/>
              <w:left w:type="dxa" w:w="160"/>
              <w:bottom w:type="dxa" w:w="120"/>
              <w:right w:type="dxa" w:w="120"/>
            </w:tcMar>
          </w:tcPr>
          <w:p>
            <w:r>
              <w:rPr>
                <w:rFonts w:ascii="Arial" w:cs="Arial" w:eastAsia="Arial" w:hAnsi="Arial"/>
                <w:b/>
                <w:bCs/>
                <w:color w:val="1A5C3A"/>
                <w:sz w:val="20"/>
                <w:szCs w:val="20"/>
              </w:rPr>
              <w:t xml:space="preserve">&gt; 1,000 by December 2026</w:t>
            </w:r>
          </w:p>
        </w:tc>
      </w:tr>
      <w:tr>
        <w:tc>
          <w:tcPr>
            <w:tcW w:type="dxa" w:w="336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00"/>
            </w:tcMar>
          </w:tcPr>
          <w:p>
            <w:r>
              <w:rPr>
                <w:rFonts w:ascii="Arial" w:cs="Arial" w:eastAsia="Arial" w:hAnsi="Arial"/>
                <w:b/>
                <w:bCs/>
                <w:color w:val="1B2A4A"/>
                <w:sz w:val="20"/>
                <w:szCs w:val="20"/>
              </w:rPr>
              <w:t xml:space="preserve">Organic Website Leads / Month</w:t>
            </w:r>
          </w:p>
        </w:tc>
        <w:tc>
          <w:tcPr>
            <w:tcW w:type="dxa" w:w="2400"/>
            <w:tcBorders>
              <w:top w:val="single" w:color="CCCCCC" w:sz="1"/>
              <w:left w:val="single" w:color="CCCCCC" w:sz="1"/>
              <w:bottom w:val="single" w:color="CCCCCC" w:sz="1"/>
              <w:right w:val="single" w:color="CCCCCC" w:sz="1"/>
            </w:tcBorders>
            <w:shd w:fill="FEF3E2" w:val="clear"/>
            <w:tcMar>
              <w:top w:type="dxa" w:w="120"/>
              <w:left w:type="dxa" w:w="160"/>
              <w:bottom w:type="dxa" w:w="120"/>
              <w:right w:type="dxa" w:w="100"/>
            </w:tcMar>
          </w:tcPr>
          <w:p>
            <w:r>
              <w:rPr>
                <w:rFonts w:ascii="Arial" w:cs="Arial" w:eastAsia="Arial" w:hAnsi="Arial"/>
                <w:color w:val="8B4513"/>
                <w:sz w:val="20"/>
                <w:szCs w:val="20"/>
              </w:rPr>
              <w:t xml:space="preserve">0 (blog broken)</w:t>
            </w:r>
          </w:p>
        </w:tc>
        <w:tc>
          <w:tcPr>
            <w:tcW w:type="dxa" w:w="3600"/>
            <w:tcBorders>
              <w:top w:val="single" w:color="CCCCCC" w:sz="1"/>
              <w:left w:val="single" w:color="CCCCCC" w:sz="1"/>
              <w:bottom w:val="single" w:color="CCCCCC" w:sz="1"/>
              <w:right w:val="single" w:color="CCCCCC" w:sz="1"/>
            </w:tcBorders>
            <w:shd w:fill="F0F7F4" w:val="clear"/>
            <w:tcMar>
              <w:top w:type="dxa" w:w="120"/>
              <w:left w:type="dxa" w:w="160"/>
              <w:bottom w:type="dxa" w:w="120"/>
              <w:right w:type="dxa" w:w="120"/>
            </w:tcMar>
          </w:tcPr>
          <w:p>
            <w:r>
              <w:rPr>
                <w:rFonts w:ascii="Arial" w:cs="Arial" w:eastAsia="Arial" w:hAnsi="Arial"/>
                <w:b/>
                <w:bCs/>
                <w:color w:val="1A5C3A"/>
                <w:sz w:val="20"/>
                <w:szCs w:val="20"/>
              </w:rPr>
              <w:t xml:space="preserve">&gt; 30 organic leads/month via SEO + content</w:t>
            </w:r>
          </w:p>
        </w:tc>
      </w:tr>
      <w:tr>
        <w:tc>
          <w:tcPr>
            <w:tcW w:type="dxa" w:w="3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00"/>
            </w:tcMar>
          </w:tcPr>
          <w:p>
            <w:r>
              <w:rPr>
                <w:rFonts w:ascii="Arial" w:cs="Arial" w:eastAsia="Arial" w:hAnsi="Arial"/>
                <w:b/>
                <w:bCs/>
                <w:color w:val="1B2A4A"/>
                <w:sz w:val="20"/>
                <w:szCs w:val="20"/>
              </w:rPr>
              <w:t xml:space="preserve">Property Management Retainers</w:t>
            </w:r>
          </w:p>
        </w:tc>
        <w:tc>
          <w:tcPr>
            <w:tcW w:type="dxa" w:w="2400"/>
            <w:tcBorders>
              <w:top w:val="single" w:color="CCCCCC" w:sz="1"/>
              <w:left w:val="single" w:color="CCCCCC" w:sz="1"/>
              <w:bottom w:val="single" w:color="CCCCCC" w:sz="1"/>
              <w:right w:val="single" w:color="CCCCCC" w:sz="1"/>
            </w:tcBorders>
            <w:shd w:fill="FFFBF5" w:val="clear"/>
            <w:tcMar>
              <w:top w:type="dxa" w:w="120"/>
              <w:left w:type="dxa" w:w="160"/>
              <w:bottom w:type="dxa" w:w="120"/>
              <w:right w:type="dxa" w:w="100"/>
            </w:tcMar>
          </w:tcPr>
          <w:p>
            <w:r>
              <w:rPr>
                <w:rFonts w:ascii="Arial" w:cs="Arial" w:eastAsia="Arial" w:hAnsi="Arial"/>
                <w:color w:val="8B4513"/>
                <w:sz w:val="20"/>
                <w:szCs w:val="20"/>
              </w:rPr>
              <w:t xml:space="preserve">Not tracked</w:t>
            </w:r>
          </w:p>
        </w:tc>
        <w:tc>
          <w:tcPr>
            <w:tcW w:type="dxa" w:w="3600"/>
            <w:tcBorders>
              <w:top w:val="single" w:color="CCCCCC" w:sz="1"/>
              <w:left w:val="single" w:color="CCCCCC" w:sz="1"/>
              <w:bottom w:val="single" w:color="CCCCCC" w:sz="1"/>
              <w:right w:val="single" w:color="CCCCCC" w:sz="1"/>
            </w:tcBorders>
            <w:shd w:fill="F8FFF8" w:val="clear"/>
            <w:tcMar>
              <w:top w:type="dxa" w:w="120"/>
              <w:left w:type="dxa" w:w="160"/>
              <w:bottom w:type="dxa" w:w="120"/>
              <w:right w:type="dxa" w:w="120"/>
            </w:tcMar>
          </w:tcPr>
          <w:p>
            <w:r>
              <w:rPr>
                <w:rFonts w:ascii="Arial" w:cs="Arial" w:eastAsia="Arial" w:hAnsi="Arial"/>
                <w:b/>
                <w:bCs/>
                <w:color w:val="1A5C3A"/>
                <w:sz w:val="20"/>
                <w:szCs w:val="20"/>
              </w:rPr>
              <w:t xml:space="preserve">3 new PM retainer clients signed</w:t>
            </w:r>
          </w:p>
        </w:tc>
      </w:tr>
      <w:tr>
        <w:tc>
          <w:tcPr>
            <w:tcW w:type="dxa" w:w="336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00"/>
            </w:tcMar>
          </w:tcPr>
          <w:p>
            <w:r>
              <w:rPr>
                <w:rFonts w:ascii="Arial" w:cs="Arial" w:eastAsia="Arial" w:hAnsi="Arial"/>
                <w:b/>
                <w:bCs/>
                <w:color w:val="1B2A4A"/>
                <w:sz w:val="20"/>
                <w:szCs w:val="20"/>
              </w:rPr>
              <w:t xml:space="preserve">Cost Per Qualified Lead (Meta)</w:t>
            </w:r>
          </w:p>
        </w:tc>
        <w:tc>
          <w:tcPr>
            <w:tcW w:type="dxa" w:w="2400"/>
            <w:tcBorders>
              <w:top w:val="single" w:color="CCCCCC" w:sz="1"/>
              <w:left w:val="single" w:color="CCCCCC" w:sz="1"/>
              <w:bottom w:val="single" w:color="CCCCCC" w:sz="1"/>
              <w:right w:val="single" w:color="CCCCCC" w:sz="1"/>
            </w:tcBorders>
            <w:shd w:fill="FEF3E2" w:val="clear"/>
            <w:tcMar>
              <w:top w:type="dxa" w:w="120"/>
              <w:left w:type="dxa" w:w="160"/>
              <w:bottom w:type="dxa" w:w="120"/>
              <w:right w:type="dxa" w:w="100"/>
            </w:tcMar>
          </w:tcPr>
          <w:p>
            <w:r>
              <w:rPr>
                <w:rFonts w:ascii="Arial" w:cs="Arial" w:eastAsia="Arial" w:hAnsi="Arial"/>
                <w:color w:val="8B4513"/>
                <w:sz w:val="20"/>
                <w:szCs w:val="20"/>
              </w:rPr>
              <w:t xml:space="preserve">Unknown</w:t>
            </w:r>
          </w:p>
        </w:tc>
        <w:tc>
          <w:tcPr>
            <w:tcW w:type="dxa" w:w="3600"/>
            <w:tcBorders>
              <w:top w:val="single" w:color="CCCCCC" w:sz="1"/>
              <w:left w:val="single" w:color="CCCCCC" w:sz="1"/>
              <w:bottom w:val="single" w:color="CCCCCC" w:sz="1"/>
              <w:right w:val="single" w:color="CCCCCC" w:sz="1"/>
            </w:tcBorders>
            <w:shd w:fill="F0F7F4" w:val="clear"/>
            <w:tcMar>
              <w:top w:type="dxa" w:w="120"/>
              <w:left w:type="dxa" w:w="160"/>
              <w:bottom w:type="dxa" w:w="120"/>
              <w:right w:type="dxa" w:w="120"/>
            </w:tcMar>
          </w:tcPr>
          <w:p>
            <w:r>
              <w:rPr>
                <w:rFonts w:ascii="Arial" w:cs="Arial" w:eastAsia="Arial" w:hAnsi="Arial"/>
                <w:b/>
                <w:bCs/>
                <w:color w:val="1A5C3A"/>
                <w:sz w:val="20"/>
                <w:szCs w:val="20"/>
              </w:rPr>
              <w:t xml:space="preserve">&lt; KES 5,000 per qualified diaspora lead</w:t>
            </w:r>
          </w:p>
        </w:tc>
      </w:tr>
      <w:tr>
        <w:tc>
          <w:tcPr>
            <w:tcW w:type="dxa" w:w="3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00"/>
            </w:tcMar>
          </w:tcPr>
          <w:p>
            <w:r>
              <w:rPr>
                <w:rFonts w:ascii="Arial" w:cs="Arial" w:eastAsia="Arial" w:hAnsi="Arial"/>
                <w:b/>
                <w:bCs/>
                <w:color w:val="1B2A4A"/>
                <w:sz w:val="20"/>
                <w:szCs w:val="20"/>
              </w:rPr>
              <w:t xml:space="preserve">Revenue Attribution</w:t>
            </w:r>
          </w:p>
        </w:tc>
        <w:tc>
          <w:tcPr>
            <w:tcW w:type="dxa" w:w="2400"/>
            <w:tcBorders>
              <w:top w:val="single" w:color="CCCCCC" w:sz="1"/>
              <w:left w:val="single" w:color="CCCCCC" w:sz="1"/>
              <w:bottom w:val="single" w:color="CCCCCC" w:sz="1"/>
              <w:right w:val="single" w:color="CCCCCC" w:sz="1"/>
            </w:tcBorders>
            <w:shd w:fill="FFFBF5" w:val="clear"/>
            <w:tcMar>
              <w:top w:type="dxa" w:w="120"/>
              <w:left w:type="dxa" w:w="160"/>
              <w:bottom w:type="dxa" w:w="120"/>
              <w:right w:type="dxa" w:w="100"/>
            </w:tcMar>
          </w:tcPr>
          <w:p>
            <w:r>
              <w:rPr>
                <w:rFonts w:ascii="Arial" w:cs="Arial" w:eastAsia="Arial" w:hAnsi="Arial"/>
                <w:color w:val="8B4513"/>
                <w:sz w:val="20"/>
                <w:szCs w:val="20"/>
              </w:rPr>
              <w:t xml:space="preserve">Not measurable</w:t>
            </w:r>
          </w:p>
        </w:tc>
        <w:tc>
          <w:tcPr>
            <w:tcW w:type="dxa" w:w="3600"/>
            <w:tcBorders>
              <w:top w:val="single" w:color="CCCCCC" w:sz="1"/>
              <w:left w:val="single" w:color="CCCCCC" w:sz="1"/>
              <w:bottom w:val="single" w:color="CCCCCC" w:sz="1"/>
              <w:right w:val="single" w:color="CCCCCC" w:sz="1"/>
            </w:tcBorders>
            <w:shd w:fill="F8FFF8" w:val="clear"/>
            <w:tcMar>
              <w:top w:type="dxa" w:w="120"/>
              <w:left w:type="dxa" w:w="160"/>
              <w:bottom w:type="dxa" w:w="120"/>
              <w:right w:type="dxa" w:w="120"/>
            </w:tcMar>
          </w:tcPr>
          <w:p>
            <w:r>
              <w:rPr>
                <w:rFonts w:ascii="Arial" w:cs="Arial" w:eastAsia="Arial" w:hAnsi="Arial"/>
                <w:b/>
                <w:bCs/>
                <w:color w:val="1A5C3A"/>
                <w:sz w:val="20"/>
                <w:szCs w:val="20"/>
              </w:rPr>
              <w:t xml:space="preserve">Full source attribution live in dashboard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EF4" w:val="clear"/>
            <w:tcMar>
              <w:top w:type="dxa" w:w="200"/>
              <w:left w:type="dxa" w:w="280"/>
              <w:bottom w:type="dxa" w:w="200"/>
              <w:right w:type="dxa" w:w="280"/>
            </w:tcMar>
          </w:tcPr>
          <w:p>
            <w:pPr>
              <w:spacing w:after="80"/>
            </w:pPr>
            <w:r>
              <w:rPr>
                <w:rFonts w:ascii="Arial" w:cs="Arial" w:eastAsia="Arial" w:hAnsi="Arial"/>
                <w:b/>
                <w:bCs/>
                <w:color w:val="1B2A4A"/>
                <w:sz w:val="22"/>
                <w:szCs w:val="22"/>
              </w:rPr>
              <w:t xml:space="preserve">Note on Measurement Integrity</w:t>
            </w:r>
          </w:p>
          <w:p>
            <w:r>
              <w:rPr>
                <w:rFonts w:ascii="Arial" w:cs="Arial" w:eastAsia="Arial" w:hAnsi="Arial"/>
                <w:color w:val="555555"/>
                <w:sz w:val="20"/>
                <w:szCs w:val="20"/>
              </w:rPr>
              <w:t xml:space="preserve">All KPIs above require proper data infrastructure to measure accurately. Where current-state data does not exist (marked 'Unknown' or 'Not measured'), verified baselines should be established in the first 30 days of any structured implementation programme. Targets should be set against verified baselines — not estimates — to ensure measurement integrity.</w:t>
            </w:r>
          </w:p>
        </w:tc>
      </w:tr>
    </w:tbl>
    <w:p>
      <w:r>
        <w:br w:type="page"/>
      </w:r>
    </w:p>
    <w:p>
      <w:pPr>
        <w:spacing w:after="80" w:before="360"/>
      </w:pPr>
      <w:r>
        <w:rPr>
          <w:rFonts w:ascii="Arial" w:cs="Arial" w:eastAsia="Arial" w:hAnsi="Arial"/>
          <w:b/>
          <w:bCs/>
          <w:color w:val="0D6E6E"/>
          <w:sz w:val="18"/>
          <w:szCs w:val="18"/>
        </w:rPr>
        <w:t xml:space="preserve">APPENDIX</w:t>
      </w:r>
    </w:p>
    <w:p>
      <w:pPr>
        <w:pStyle w:val="Heading1"/>
        <w:spacing w:after="160" w:before="120"/>
      </w:pPr>
      <w:r>
        <w:rPr>
          <w:rFonts w:ascii="Arial" w:cs="Arial" w:eastAsia="Arial" w:hAnsi="Arial"/>
          <w:b/>
          <w:bCs/>
          <w:color w:val="1B2A4A"/>
          <w:sz w:val="36"/>
          <w:szCs w:val="36"/>
        </w:rPr>
        <w:t xml:space="preserve">Competitive Context</w:t>
      </w:r>
    </w:p>
    <w:p>
      <w:pPr>
        <w:spacing w:after="100" w:before="80"/>
        <w:jc w:val="left"/>
      </w:pPr>
      <w:r>
        <w:rPr>
          <w:rFonts w:ascii="Arial" w:cs="Arial" w:eastAsia="Arial" w:hAnsi="Arial"/>
          <w:b w:val="false"/>
          <w:bCs w:val="false"/>
          <w:i w:val="false"/>
          <w:iCs w:val="false"/>
          <w:color w:val="333333"/>
          <w:sz w:val="22"/>
          <w:szCs w:val="22"/>
        </w:rPr>
        <w:t xml:space="preserve">The following table profiles the key competitors in PRL's core market segments and assesses their relative digital and revenue maturity. This context underscores the urgency of the capability gaps identified in Section 05.</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4800"/>
      </w:tblGrid>
      <w:tr>
        <w:tc>
          <w:tcPr>
            <w:tcW w:type="dxa" w:w="2800"/>
            <w:tcBorders>
              <w:top w:val="none" w:color="FFFFFF" w:sz="0"/>
              <w:left w:val="none" w:color="FFFFFF" w:sz="0"/>
              <w:bottom w:val="none" w:color="FFFFFF" w:sz="0"/>
              <w:right w:val="none" w:color="FFFFFF" w:sz="0"/>
            </w:tcBorders>
            <w:shd w:fill="1B2A4A" w:val="clear"/>
            <w:tcMar>
              <w:top w:type="dxa" w:w="100"/>
              <w:left w:type="dxa" w:w="160"/>
              <w:bottom w:type="dxa" w:w="100"/>
              <w:right w:type="dxa" w:w="100"/>
            </w:tcMar>
          </w:tcPr>
          <w:p>
            <w:r>
              <w:rPr>
                <w:rFonts w:ascii="Arial" w:cs="Arial" w:eastAsia="Arial" w:hAnsi="Arial"/>
                <w:b/>
                <w:bCs/>
                <w:color w:val="C9A84C"/>
                <w:sz w:val="18"/>
                <w:szCs w:val="18"/>
              </w:rPr>
              <w:t xml:space="preserve">COMPETITOR</w:t>
            </w:r>
          </w:p>
        </w:tc>
        <w:tc>
          <w:tcPr>
            <w:tcW w:type="dxa" w:w="1760"/>
            <w:tcBorders>
              <w:top w:val="none" w:color="FFFFFF" w:sz="0"/>
              <w:left w:val="none" w:color="FFFFFF" w:sz="0"/>
              <w:bottom w:val="none" w:color="FFFFFF" w:sz="0"/>
              <w:right w:val="none" w:color="FFFFFF" w:sz="0"/>
            </w:tcBorders>
            <w:shd w:fill="1B2A4A" w:val="clear"/>
            <w:tcMar>
              <w:top w:type="dxa" w:w="100"/>
              <w:left w:type="dxa" w:w="160"/>
              <w:bottom w:type="dxa" w:w="100"/>
              <w:right w:type="dxa" w:w="100"/>
            </w:tcMar>
          </w:tcPr>
          <w:p>
            <w:r>
              <w:rPr>
                <w:rFonts w:ascii="Arial" w:cs="Arial" w:eastAsia="Arial" w:hAnsi="Arial"/>
                <w:b/>
                <w:bCs/>
                <w:color w:val="C9A84C"/>
                <w:sz w:val="18"/>
                <w:szCs w:val="18"/>
              </w:rPr>
              <w:t xml:space="preserve">DIGITAL MATURITY</w:t>
            </w:r>
          </w:p>
        </w:tc>
        <w:tc>
          <w:tcPr>
            <w:tcW w:type="dxa" w:w="4800"/>
            <w:tcBorders>
              <w:top w:val="none" w:color="FFFFFF" w:sz="0"/>
              <w:left w:val="none" w:color="FFFFFF" w:sz="0"/>
              <w:bottom w:val="none" w:color="FFFFFF" w:sz="0"/>
              <w:right w:val="none" w:color="FFFFFF" w:sz="0"/>
            </w:tcBorders>
            <w:shd w:fill="1B2A4A" w:val="clear"/>
            <w:tcMar>
              <w:top w:type="dxa" w:w="100"/>
              <w:left w:type="dxa" w:w="160"/>
              <w:bottom w:type="dxa" w:w="100"/>
              <w:right w:type="dxa" w:w="100"/>
            </w:tcMar>
          </w:tcPr>
          <w:p>
            <w:r>
              <w:rPr>
                <w:rFonts w:ascii="Arial" w:cs="Arial" w:eastAsia="Arial" w:hAnsi="Arial"/>
                <w:b/>
                <w:bCs/>
                <w:color w:val="C9A84C"/>
                <w:sz w:val="18"/>
                <w:szCs w:val="18"/>
              </w:rPr>
              <w:t xml:space="preserve">KEY CAPABILITIES OBSERVED</w:t>
            </w:r>
          </w:p>
        </w:tc>
      </w:tr>
      <w:tr>
        <w:tc>
          <w:tcPr>
            <w:tcW w:type="dxa" w:w="280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00"/>
            </w:tcMar>
            <w:vAlign w:val="top"/>
          </w:tcPr>
          <w:p>
            <w:r>
              <w:rPr>
                <w:rFonts w:ascii="Arial" w:cs="Arial" w:eastAsia="Arial" w:hAnsi="Arial"/>
                <w:b w:val="false"/>
                <w:bCs w:val="false"/>
                <w:color w:val="1B2A4A"/>
                <w:sz w:val="20"/>
                <w:szCs w:val="20"/>
              </w:rPr>
              <w:t xml:space="preserve">Optiven Group</w:t>
            </w:r>
          </w:p>
        </w:tc>
        <w:tc>
          <w:tcPr>
            <w:tcW w:type="dxa" w:w="1760"/>
            <w:tcBorders>
              <w:top w:val="single" w:color="CCCCCC" w:sz="1"/>
              <w:left w:val="single" w:color="CCCCCC" w:sz="1"/>
              <w:bottom w:val="single" w:color="CCCCCC" w:sz="1"/>
              <w:right w:val="single" w:color="CCCCCC" w:sz="1"/>
            </w:tcBorders>
            <w:shd w:fill="F5F8FB" w:val="clear"/>
            <w:tcMar>
              <w:top w:type="dxa" w:w="120"/>
              <w:left w:type="dxa" w:w="100"/>
              <w:bottom w:type="dxa" w:w="120"/>
              <w:right w:type="dxa" w:w="100"/>
            </w:tcMar>
            <w:vAlign w:val="top"/>
          </w:tcPr>
          <w:p>
            <w:pPr>
              <w:jc w:val="center"/>
            </w:pPr>
            <w:r>
              <w:rPr>
                <w:rFonts w:ascii="Arial" w:cs="Arial" w:eastAsia="Arial" w:hAnsi="Arial"/>
                <w:b/>
                <w:bCs/>
                <w:color w:val="1A5C3A"/>
                <w:sz w:val="20"/>
                <w:szCs w:val="20"/>
              </w:rPr>
              <w:t xml:space="preserve">Advanced</w:t>
            </w:r>
          </w:p>
        </w:tc>
        <w:tc>
          <w:tcPr>
            <w:tcW w:type="dxa" w:w="480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20"/>
            </w:tcMar>
          </w:tcPr>
          <w:p>
            <w:r>
              <w:rPr>
                <w:rFonts w:ascii="Arial" w:cs="Arial" w:eastAsia="Arial" w:hAnsi="Arial"/>
                <w:color w:val="333333"/>
                <w:sz w:val="20"/>
                <w:szCs w:val="20"/>
              </w:rPr>
              <w:t xml:space="preserve">Active Meta &amp; YouTube diaspora campaigns; structured WhatsApp follow-up; CRM in use</w:t>
            </w:r>
          </w:p>
        </w:tc>
      </w:tr>
      <w:tr>
        <w:tc>
          <w:tcPr>
            <w:tcW w:type="dxa" w:w="2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00"/>
            </w:tcMar>
            <w:vAlign w:val="top"/>
          </w:tcPr>
          <w:p>
            <w:r>
              <w:rPr>
                <w:rFonts w:ascii="Arial" w:cs="Arial" w:eastAsia="Arial" w:hAnsi="Arial"/>
                <w:b w:val="false"/>
                <w:bCs w:val="false"/>
                <w:color w:val="1B2A4A"/>
                <w:sz w:val="20"/>
                <w:szCs w:val="20"/>
              </w:rPr>
              <w:t xml:space="preserve">Username Properties</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vAlign w:val="top"/>
          </w:tcPr>
          <w:p>
            <w:pPr>
              <w:jc w:val="center"/>
            </w:pPr>
            <w:r>
              <w:rPr>
                <w:rFonts w:ascii="Arial" w:cs="Arial" w:eastAsia="Arial" w:hAnsi="Arial"/>
                <w:b/>
                <w:bCs/>
                <w:color w:val="1A5C3A"/>
                <w:sz w:val="20"/>
                <w:szCs w:val="20"/>
              </w:rPr>
              <w:t xml:space="preserve">Advanced</w:t>
            </w:r>
          </w:p>
        </w:tc>
        <w:tc>
          <w:tcPr>
            <w:tcW w:type="dxa" w:w="4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20"/>
            </w:tcMar>
          </w:tcPr>
          <w:p>
            <w:r>
              <w:rPr>
                <w:rFonts w:ascii="Arial" w:cs="Arial" w:eastAsia="Arial" w:hAnsi="Arial"/>
                <w:color w:val="333333"/>
                <w:sz w:val="20"/>
                <w:szCs w:val="20"/>
              </w:rPr>
              <w:t xml:space="preserve">Digital-first sales model; strong LinkedIn presence; monthly investor webinars</w:t>
            </w:r>
          </w:p>
        </w:tc>
      </w:tr>
      <w:tr>
        <w:tc>
          <w:tcPr>
            <w:tcW w:type="dxa" w:w="280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00"/>
            </w:tcMar>
            <w:vAlign w:val="top"/>
          </w:tcPr>
          <w:p>
            <w:r>
              <w:rPr>
                <w:rFonts w:ascii="Arial" w:cs="Arial" w:eastAsia="Arial" w:hAnsi="Arial"/>
                <w:b w:val="false"/>
                <w:bCs w:val="false"/>
                <w:color w:val="1B2A4A"/>
                <w:sz w:val="20"/>
                <w:szCs w:val="20"/>
              </w:rPr>
              <w:t xml:space="preserve">Finsco Africa</w:t>
            </w:r>
          </w:p>
        </w:tc>
        <w:tc>
          <w:tcPr>
            <w:tcW w:type="dxa" w:w="1760"/>
            <w:tcBorders>
              <w:top w:val="single" w:color="CCCCCC" w:sz="1"/>
              <w:left w:val="single" w:color="CCCCCC" w:sz="1"/>
              <w:bottom w:val="single" w:color="CCCCCC" w:sz="1"/>
              <w:right w:val="single" w:color="CCCCCC" w:sz="1"/>
            </w:tcBorders>
            <w:shd w:fill="F5F8FB" w:val="clear"/>
            <w:tcMar>
              <w:top w:type="dxa" w:w="120"/>
              <w:left w:type="dxa" w:w="100"/>
              <w:bottom w:type="dxa" w:w="120"/>
              <w:right w:type="dxa" w:w="100"/>
            </w:tcMar>
            <w:vAlign w:val="top"/>
          </w:tcPr>
          <w:p>
            <w:pPr>
              <w:jc w:val="center"/>
            </w:pPr>
            <w:r>
              <w:rPr>
                <w:rFonts w:ascii="Arial" w:cs="Arial" w:eastAsia="Arial" w:hAnsi="Arial"/>
                <w:b/>
                <w:bCs/>
                <w:color w:val="1A5C3A"/>
                <w:sz w:val="20"/>
                <w:szCs w:val="20"/>
              </w:rPr>
              <w:t xml:space="preserve">Advanced</w:t>
            </w:r>
          </w:p>
        </w:tc>
        <w:tc>
          <w:tcPr>
            <w:tcW w:type="dxa" w:w="4800"/>
            <w:tcBorders>
              <w:top w:val="single" w:color="CCCCCC" w:sz="1"/>
              <w:left w:val="single" w:color="CCCCCC" w:sz="1"/>
              <w:bottom w:val="single" w:color="CCCCCC" w:sz="1"/>
              <w:right w:val="single" w:color="CCCCCC" w:sz="1"/>
            </w:tcBorders>
            <w:shd w:fill="F5F8FB" w:val="clear"/>
            <w:tcMar>
              <w:top w:type="dxa" w:w="120"/>
              <w:left w:type="dxa" w:w="160"/>
              <w:bottom w:type="dxa" w:w="120"/>
              <w:right w:type="dxa" w:w="120"/>
            </w:tcMar>
          </w:tcPr>
          <w:p>
            <w:r>
              <w:rPr>
                <w:rFonts w:ascii="Arial" w:cs="Arial" w:eastAsia="Arial" w:hAnsi="Arial"/>
                <w:color w:val="333333"/>
                <w:sz w:val="20"/>
                <w:szCs w:val="20"/>
              </w:rPr>
              <w:t xml:space="preserve">Dedicated diaspora landing pages; retargeting ads; email drip sequences in place</w:t>
            </w:r>
          </w:p>
        </w:tc>
      </w:tr>
      <w:tr>
        <w:tc>
          <w:tcPr>
            <w:tcW w:type="dxa" w:w="280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00"/>
            </w:tcMar>
            <w:vAlign w:val="top"/>
          </w:tcPr>
          <w:p>
            <w:r>
              <w:rPr>
                <w:rFonts w:ascii="Arial" w:cs="Arial" w:eastAsia="Arial" w:hAnsi="Arial"/>
                <w:b/>
                <w:bCs/>
                <w:color w:val="8B4513"/>
                <w:sz w:val="20"/>
                <w:szCs w:val="20"/>
              </w:rPr>
              <w:t xml:space="preserve">Premier Realty Limited</w:t>
            </w:r>
          </w:p>
        </w:tc>
        <w:tc>
          <w:tcPr>
            <w:tcW w:type="dxa" w:w="1760"/>
            <w:tcBorders>
              <w:top w:val="single" w:color="CCCCCC" w:sz="1"/>
              <w:left w:val="single" w:color="CCCCCC" w:sz="1"/>
              <w:bottom w:val="single" w:color="CCCCCC" w:sz="1"/>
              <w:right w:val="single" w:color="CCCCCC" w:sz="1"/>
            </w:tcBorders>
            <w:shd w:fill="FFF3CD" w:val="clear"/>
            <w:tcMar>
              <w:top w:type="dxa" w:w="120"/>
              <w:left w:type="dxa" w:w="100"/>
              <w:bottom w:type="dxa" w:w="120"/>
              <w:right w:type="dxa" w:w="100"/>
            </w:tcMar>
            <w:vAlign w:val="top"/>
          </w:tcPr>
          <w:p>
            <w:pPr>
              <w:jc w:val="center"/>
            </w:pPr>
            <w:r>
              <w:rPr>
                <w:rFonts w:ascii="Arial" w:cs="Arial" w:eastAsia="Arial" w:hAnsi="Arial"/>
                <w:b/>
                <w:bCs/>
                <w:color w:val="C0392B"/>
                <w:sz w:val="20"/>
                <w:szCs w:val="20"/>
              </w:rPr>
              <w:t xml:space="preserve">Early Stage</w:t>
            </w:r>
          </w:p>
        </w:tc>
        <w:tc>
          <w:tcPr>
            <w:tcW w:type="dxa" w:w="480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20"/>
            </w:tcMar>
          </w:tcPr>
          <w:p>
            <w:r>
              <w:rPr>
                <w:rFonts w:ascii="Arial" w:cs="Arial" w:eastAsia="Arial" w:hAnsi="Arial"/>
                <w:color w:val="333333"/>
                <w:sz w:val="20"/>
                <w:szCs w:val="20"/>
              </w:rPr>
              <w:t xml:space="preserve">No CRM, no digital funnel, no content programme; 188 LinkedIn followers; broken blog</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200"/>
              <w:left w:type="dxa" w:w="280"/>
              <w:bottom w:type="dxa" w:w="200"/>
              <w:right w:type="dxa" w:w="280"/>
            </w:tcMar>
          </w:tcPr>
          <w:p>
            <w:pPr>
              <w:spacing w:after="80"/>
            </w:pPr>
            <w:r>
              <w:rPr>
                <w:rFonts w:ascii="Arial" w:cs="Arial" w:eastAsia="Arial" w:hAnsi="Arial"/>
                <w:b/>
                <w:bCs/>
                <w:color w:val="8B4513"/>
                <w:sz w:val="22"/>
                <w:szCs w:val="22"/>
              </w:rPr>
              <w:t xml:space="preserve">Analyst Note</w:t>
            </w:r>
          </w:p>
          <w:p>
            <w:r>
              <w:rPr>
                <w:rFonts w:ascii="Arial" w:cs="Arial" w:eastAsia="Arial" w:hAnsi="Arial"/>
                <w:color w:val="8B4513"/>
                <w:sz w:val="20"/>
                <w:szCs w:val="20"/>
              </w:rPr>
              <w:t xml:space="preserve">PRL's 20-year operational history and multi-corridor land portfolio represent genuine competitive advantages that digital-native competitors cannot replicate. The risk is not that PRL lacks credibility — it is that credibility alone is insufficient in a market where buyers now expect digital validation, structured follow-up, and online discoverability before engaging a firm. The competitive gap is a systems gap, not an expertise gap.</w:t>
            </w:r>
          </w:p>
        </w:tc>
      </w:tr>
    </w:tbl>
    <w:p>
      <w:pPr>
        <w:spacing w:after="80" w:before="240"/>
      </w:pPr>
      <w:r>
        <w:t xml:space="preserve"/>
      </w:r>
    </w:p>
    <w:p>
      <w:pPr>
        <w:pBdr>
          <w:top w:val="single" w:color="DDDDDD" w:sz="4" w:space="1"/>
        </w:pBdr>
        <w:spacing w:before="160"/>
        <w:jc w:val="center"/>
      </w:pPr>
      <w:r>
        <w:rPr>
          <w:rFonts w:ascii="Arial" w:cs="Arial" w:eastAsia="Arial" w:hAnsi="Arial"/>
          <w:i/>
          <w:iCs/>
          <w:color w:val="999999"/>
          <w:sz w:val="16"/>
          <w:szCs w:val="16"/>
        </w:rPr>
        <w:t xml:space="preserve">This analysis is confidential and prepared exclusively by Provecta Group. It may not be shared, reproduced, or distributed without written consent.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before="120"/>
      <w:jc w:val="right"/>
    </w:pPr>
    <w:r>
      <w:rPr>
        <w:rFonts w:ascii="Arial" w:cs="Arial" w:eastAsia="Arial" w:hAnsi="Arial"/>
        <w:color w:val="999999"/>
        <w:sz w:val="16"/>
        <w:szCs w:val="16"/>
      </w:rPr>
      <w:t xml:space="preserve">© 2026 Provecta Group  ·  Confidential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spacing w:after="120"/>
    </w:pPr>
    <w:r>
      <w:rPr>
        <w:rFonts w:ascii="Arial" w:cs="Arial" w:eastAsia="Arial" w:hAnsi="Arial"/>
        <w:color w:val="999999"/>
        <w:sz w:val="16"/>
        <w:szCs w:val="16"/>
      </w:rPr>
      <w:t xml:space="preserve">Premier Realty Limited  ·  Market Position Analysis  ·  Provecta Group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D6E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2026-04-10T07:30:37.465Z</dcterms:created>
  <dcterms:modified xsi:type="dcterms:W3CDTF">2026-04-10T07:30:37.465Z</dcterms:modified>
</cp:coreProperties>
</file>

<file path=docProps/custom.xml><?xml version="1.0" encoding="utf-8"?>
<Properties xmlns="http://schemas.openxmlformats.org/officeDocument/2006/custom-properties" xmlns:vt="http://schemas.openxmlformats.org/officeDocument/2006/docPropsVTypes"/>
</file>