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Development Execution and Release Management</w:t>
      </w:r>
    </w:p>
    <w:p>
      <w:pPr>
        <w:pStyle w:val="Subtitle"/>
      </w:pPr>
      <w:r>
        <w:t xml:space="preserve">AI-Driven Sprint Delivery with Granular Story Acceptance Criteria</w:t>
      </w:r>
    </w:p>
    <w:p/>
    <w:p>
      <w:pPr>
        <w:pStyle w:val="CoverMeta"/>
      </w:pPr>
      <w:r>
        <w:t xml:space="preserve">by Faruq Hunter</w:t>
      </w:r>
    </w:p>
    <w:p>
      <w:pPr>
        <w:pStyle w:val="CoverMeta"/>
      </w:pPr>
      <w:r>
        <w:t xml:space="preserve">March 2026</w:t>
      </w:r>
    </w:p>
    <w:p>
      <w:r>
        <w:br w:type="page"/>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Pr>
      <w:r>
        <w:t xml:space="preserve">Executive Summary</w:t>
      </w:r>
    </w:p>
    <w:p>
      <w:pPr>
        <w:pStyle w:val="Normal"/>
      </w:pPr>
      <w:r>
        <w:rPr>
          <w:b w:val="false"/>
          <w:bCs w:val="false"/>
        </w:rPr>
        <w:t xml:space="preserve">This white paper explores how deeply granular acceptance criteria, combined with architectural context and organizational memory, enable teams to deliver software with confidence using AI-driven development. The Sovrynty case study demonstrates a production deployment of 77 stories across 19 epics using 27 development sessions, with zero delivery failures and 100% traceability of decisions.</w:t>
      </w:r>
    </w:p>
    <w:p>
      <w:pPr>
        <w:pStyle w:val="Normal"/>
      </w:pPr>
      <w:r>
        <w:rPr>
          <w:b w:val="false"/>
          <w:bCs w:val="false"/>
        </w:rPr>
        <w:t xml:space="preserve">By shifting from vague stories to acceptance criteria that specify step-by-step requirements, test expectations, and failure modes, teams eliminate ambiguity. When paired with an AI that can access the full organizational memory—prior decisions, architectural rules, design system documentation, and module maps—the result is faster, more reliable delivery.</w:t>
      </w:r>
    </w:p>
    <w:p>
      <w:pPr>
        <w:pStyle w:val="Heading1"/>
      </w:pPr>
      <w:r>
        <w:t xml:space="preserve">1. The Problem: Vague Stories and Lost Knowledge</w:t>
      </w:r>
    </w:p>
    <w:p>
      <w:pPr>
        <w:pStyle w:val="Normal"/>
      </w:pPr>
      <w:r>
        <w:rPr>
          <w:b w:val="false"/>
          <w:bCs w:val="false"/>
        </w:rPr>
        <w:t xml:space="preserve">Most software teams face three critical challenges when coordinating development:</w:t>
      </w:r>
    </w:p>
    <w:p>
      <w:pPr>
        <w:pStyle w:val="ListParagraph"/>
        <w:numPr>
          <w:ilvl w:val="0"/>
          <w:numId w:val="2"/>
        </w:numPr>
      </w:pPr>
      <w:r>
        <w:t xml:space="preserve">Vague user stories that leave implementation details to individual developers</w:t>
      </w:r>
    </w:p>
    <w:p>
      <w:pPr>
        <w:pStyle w:val="ListParagraph"/>
        <w:numPr>
          <w:ilvl w:val="0"/>
          <w:numId w:val="2"/>
        </w:numPr>
      </w:pPr>
      <w:r>
        <w:t xml:space="preserve">Inconsistent results from AI tools due to lack of context about prior decisions and architectural constraints</w:t>
      </w:r>
    </w:p>
    <w:p>
      <w:pPr>
        <w:pStyle w:val="ListParagraph"/>
        <w:numPr>
          <w:ilvl w:val="0"/>
          <w:numId w:val="2"/>
        </w:numPr>
      </w:pPr>
      <w:r>
        <w:t xml:space="preserve">Critical knowledge trapped in developer notebooks, Slack threads, and individual memory</w:t>
      </w:r>
    </w:p>
    <w:p>
      <w:pPr>
        <w:pStyle w:val="Normal"/>
      </w:pPr>
      <w:r>
        <w:rPr>
          <w:b w:val="false"/>
          <w:bCs w:val="false"/>
        </w:rPr>
        <w:t xml:space="preserve">When knowledge lives only in developers' heads, onboarding is slow, code reviews surface missed requirements late, and team quality depends on the most experienced person in the room.</w:t>
      </w:r>
    </w:p>
    <w:p>
      <w:pPr>
        <w:pStyle w:val="Normal"/>
      </w:pPr>
      <w:r>
        <w:rPr>
          <w:b w:val="false"/>
          <w:bCs w:val="false"/>
        </w:rPr>
        <w:t xml:space="preserve">The Sovrynty project addressed this by defining acceptance criteria so granular that every story could be reviewed in a standup, and every implementation decision could be logged and retrieved.</w:t>
      </w:r>
    </w:p>
    <w:p>
      <w:pPr>
        <w:pStyle w:val="Heading1"/>
      </w:pPr>
      <w:r>
        <w:t xml:space="preserve">2. Deeply Granular Acceptance Criteria</w:t>
      </w:r>
    </w:p>
    <w:p>
      <w:pPr>
        <w:pStyle w:val="Normal"/>
      </w:pPr>
      <w:r>
        <w:rPr>
          <w:b w:val="false"/>
          <w:bCs w:val="false"/>
        </w:rPr>
        <w:t xml:space="preserve">The foundation of reliable delivery is a story format that leaves no room for interpretation. Each of Sovrynty's 50+ stories included:</w:t>
      </w:r>
    </w:p>
    <w:p>
      <w:pPr>
        <w:pStyle w:val="ListParagraph"/>
        <w:numPr>
          <w:ilvl w:val="0"/>
          <w:numId w:val="2"/>
        </w:numPr>
      </w:pPr>
      <w:r>
        <w:t xml:space="preserve">A unique story ID and business-facing title</w:t>
      </w:r>
    </w:p>
    <w:p>
      <w:pPr>
        <w:pStyle w:val="ListParagraph"/>
        <w:numPr>
          <w:ilvl w:val="0"/>
          <w:numId w:val="2"/>
        </w:numPr>
      </w:pPr>
      <w:r>
        <w:t xml:space="preserve">A detailed description of the problem or user need</w:t>
      </w:r>
    </w:p>
    <w:p>
      <w:pPr>
        <w:pStyle w:val="ListParagraph"/>
        <w:numPr>
          <w:ilvl w:val="0"/>
          <w:numId w:val="2"/>
        </w:numPr>
      </w:pPr>
      <w:r>
        <w:t xml:space="preserve">Step-by-step acceptance criteria that specify inputs, expected outputs, and error cases</w:t>
      </w:r>
    </w:p>
    <w:p>
      <w:pPr>
        <w:pStyle w:val="ListParagraph"/>
        <w:numPr>
          <w:ilvl w:val="0"/>
          <w:numId w:val="2"/>
        </w:numPr>
      </w:pPr>
      <w:r>
        <w:t xml:space="preserve">Tri-label status tracking (Not Started, In Progress, Complete)</w:t>
      </w:r>
    </w:p>
    <w:p>
      <w:pPr>
        <w:pStyle w:val="ListParagraph"/>
        <w:numPr>
          <w:ilvl w:val="0"/>
          <w:numId w:val="2"/>
        </w:numPr>
      </w:pPr>
      <w:r>
        <w:t xml:space="preserve">Explicit dependencies on other stories</w:t>
      </w:r>
    </w:p>
    <w:p>
      <w:pPr>
        <w:pStyle w:val="ListParagraph"/>
        <w:numPr>
          <w:ilvl w:val="0"/>
          <w:numId w:val="2"/>
        </w:numPr>
      </w:pPr>
      <w:r>
        <w:t xml:space="preserve">Implementation notes and edge cases</w:t>
      </w:r>
    </w:p>
    <w:p>
      <w:pPr>
        <w:pStyle w:val="Normal"/>
      </w:pPr>
      <w:r>
        <w:rPr>
          <w:b w:val="false"/>
          <w:bCs w:val="false"/>
        </w:rPr>
        <w:t xml:space="preserve">All stories were stored in Markdown format for human readability and version control. Before any AI execution, teams reviewed each story in ceremonies—standups, sprint planning, or phase gates—to align on scope and acceptance criteria.</w:t>
      </w:r>
    </w:p>
    <w:p>
      <w:pPr>
        <w:pStyle w:val="Normal"/>
      </w:pPr>
      <w:r>
        <w:rPr>
          <w:b w:val="false"/>
          <w:bCs w:val="false"/>
        </w:rPr>
        <w:t xml:space="preserve">This approach works equally well in waterfall (phase gates review before handoff), agile (sprint planning defines the backlog), and hybrid models (phases contain sprints). The key is that acceptance criteria are agreed upon and documented before development.</w:t>
      </w:r>
    </w:p>
    <w:p>
      <w:pPr>
        <w:pStyle w:val="Heading1"/>
      </w:pPr>
      <w:r>
        <w:t xml:space="preserve">3. The Trust Model: Context Enables Confidence</w:t>
      </w:r>
    </w:p>
    <w:p>
      <w:pPr>
        <w:pStyle w:val="Normal"/>
      </w:pPr>
      <w:r>
        <w:rPr>
          <w:b w:val="false"/>
          <w:bCs w:val="false"/>
        </w:rPr>
        <w:t xml:space="preserve">Even well-defined acceptance criteria are not enough if the developer (human or AI) lacks context about the system. The Sovrynty team built a trust model around four pillars:</w:t>
      </w:r>
    </w:p>
    <w:p>
      <w:pPr>
        <w:pStyle w:val="Heading2"/>
      </w:pPr>
      <w:r>
        <w:t xml:space="preserve">3.1 Architectural Rules</w:t>
      </w:r>
    </w:p>
    <w:p>
      <w:pPr>
        <w:pStyle w:val="Normal"/>
      </w:pPr>
      <w:r>
        <w:rPr>
          <w:b w:val="false"/>
          <w:bCs w:val="false"/>
        </w:rPr>
        <w:t xml:space="preserve">Documents that specify technology choices, design patterns, and system boundaries. Example: "User authentication uses JWT with 24-hour expiry; refresh tokens are single-use and stored in HTTP-only cookies."</w:t>
      </w:r>
    </w:p>
    <w:p>
      <w:pPr>
        <w:pStyle w:val="Heading2"/>
      </w:pPr>
      <w:r>
        <w:t xml:space="preserve">3.2 Design System and Component Library</w:t>
      </w:r>
    </w:p>
    <w:p>
      <w:pPr>
        <w:pStyle w:val="Normal"/>
      </w:pPr>
      <w:r>
        <w:rPr>
          <w:b w:val="false"/>
          <w:bCs w:val="false"/>
        </w:rPr>
        <w:t xml:space="preserve">A catalog of reusable UI components, API conventions, and data models. This ensures consistency and prevents developers from reinventing patterns.</w:t>
      </w:r>
    </w:p>
    <w:p>
      <w:pPr>
        <w:pStyle w:val="Heading2"/>
      </w:pPr>
      <w:r>
        <w:t xml:space="preserve">3.3 Module Map</w:t>
      </w:r>
    </w:p>
    <w:p>
      <w:pPr>
        <w:pStyle w:val="Normal"/>
      </w:pPr>
      <w:r>
        <w:rPr>
          <w:b w:val="false"/>
          <w:bCs w:val="false"/>
        </w:rPr>
        <w:t xml:space="preserve">A visual and textual guide to code organization: which modules own which domains, where dependencies flow, and what is off-limits. Enables quick decisions about where to add code.</w:t>
      </w:r>
    </w:p>
    <w:p>
      <w:pPr>
        <w:pStyle w:val="Heading2"/>
      </w:pPr>
      <w:r>
        <w:t xml:space="preserve">3.4 Decision Log</w:t>
      </w:r>
    </w:p>
    <w:p>
      <w:pPr>
        <w:pStyle w:val="Normal"/>
      </w:pPr>
      <w:r>
        <w:rPr>
          <w:b w:val="false"/>
          <w:bCs w:val="false"/>
        </w:rPr>
        <w:t xml:space="preserve">Every significant decision is captured: what was decided, why, when, and by whom. This becomes the organization's institutional memory and prevents the team from repeating old mistakes.</w:t>
      </w:r>
    </w:p>
    <w:p>
      <w:pPr>
        <w:pStyle w:val="Normal"/>
      </w:pPr>
      <w:r>
        <w:rPr>
          <w:b w:val="false"/>
          <w:bCs w:val="false"/>
        </w:rPr>
        <w:t xml:space="preserve">With these four pillars loaded into context before each development session, an AI can make decisions that align with the system's architecture and history. Human developers gain the same benefit: new team members inherit the full context in minutes, not months.</w:t>
      </w:r>
    </w:p>
    <w:p>
      <w:pPr>
        <w:pStyle w:val="Heading1"/>
      </w:pPr>
      <w:r>
        <w:t xml:space="preserve">4. Epic-by-Epic Execution: The Sovrynty Workflow</w:t>
      </w:r>
    </w:p>
    <w:p>
      <w:pPr>
        <w:pStyle w:val="Normal"/>
      </w:pPr>
      <w:r>
        <w:rPr>
          <w:b w:val="false"/>
          <w:bCs w:val="false"/>
        </w:rPr>
        <w:t xml:space="preserve">The Sovrynty project deployed 77 stories across 19 epics in 27 development sessions. Each epic followed a repeatable workflow:</w:t>
      </w:r>
    </w:p>
    <w:p>
      <w:pPr>
        <w:pStyle w:val="Heading2"/>
      </w:pPr>
      <w:r>
        <w:t xml:space="preserve">4.1 Epic Planning (open.md)</w:t>
      </w:r>
    </w:p>
    <w:p>
      <w:pPr>
        <w:pStyle w:val="Normal"/>
      </w:pPr>
      <w:r>
        <w:rPr>
          <w:b w:val="false"/>
          <w:bCs w:val="false"/>
        </w:rPr>
        <w:t xml:space="preserve">At the start of each epic, a file named open.md contained the epic's vision, scope, key stories, and success criteria. This file was reviewed and approved before any work began.</w:t>
      </w:r>
    </w:p>
    <w:p>
      <w:pPr>
        <w:pStyle w:val="Heading2"/>
      </w:pPr>
      <w:r>
        <w:t xml:space="preserve">4.2 Development Work</w:t>
      </w:r>
    </w:p>
    <w:p>
      <w:pPr>
        <w:pStyle w:val="Normal"/>
      </w:pPr>
      <w:r>
        <w:rPr>
          <w:b w:val="false"/>
          <w:bCs w:val="false"/>
        </w:rPr>
        <w:t xml:space="preserve">Stories were implemented following their acceptance criteria. Code was written, tested, and merged. Every decision was logged in real time—why a particular approach was chosen, what alternatives were considered, and what assumptions were made.</w:t>
      </w:r>
    </w:p>
    <w:p>
      <w:pPr>
        <w:pStyle w:val="Heading2"/>
      </w:pPr>
      <w:r>
        <w:t xml:space="preserve">4.3 Epic Closure (closure.md)</w:t>
      </w:r>
    </w:p>
    <w:p>
      <w:pPr>
        <w:pStyle w:val="Normal"/>
      </w:pPr>
      <w:r>
        <w:rPr>
          <w:b w:val="false"/>
          <w:bCs w:val="false"/>
        </w:rPr>
        <w:t xml:space="preserve">Upon completion, a closure.md file documented what was delivered, any scope changes, lessons learned, and recommendations for future epics. This became part of the organization's knowledge base.</w:t>
      </w:r>
    </w:p>
    <w:p>
      <w:pPr>
        <w:pStyle w:val="Heading2"/>
      </w:pPr>
      <w:r>
        <w:t xml:space="preserve">4.4 Example: Epic 12 (Know Your Customer – KYC Verification)</w:t>
      </w:r>
    </w:p>
    <w:p>
      <w:pPr>
        <w:pStyle w:val="Normal"/>
      </w:pPr>
      <w:r>
        <w:rPr>
          <w:b w:val="false"/>
          <w:bCs w:val="false"/>
        </w:rPr>
        <w:t xml:space="preserve">Epic 12 spanned six stories covering the complete KYC verification flow: user data capture, document upload, automated verification, human review, approval/rejection, and status notification. Each story was granular enough to fit in a single development session. The workflow ensured that:</w:t>
      </w:r>
    </w:p>
    <w:p>
      <w:pPr>
        <w:pStyle w:val="ListParagraph"/>
        <w:numPr>
          <w:ilvl w:val="0"/>
          <w:numId w:val="2"/>
        </w:numPr>
      </w:pPr>
      <w:r>
        <w:t xml:space="preserve">No story built on another without explicit acceptance of its predecessor</w:t>
      </w:r>
    </w:p>
    <w:p>
      <w:pPr>
        <w:pStyle w:val="ListParagraph"/>
        <w:numPr>
          <w:ilvl w:val="0"/>
          <w:numId w:val="2"/>
        </w:numPr>
      </w:pPr>
      <w:r>
        <w:t xml:space="preserve">User-facing APIs were designed before implementation</w:t>
      </w:r>
    </w:p>
    <w:p>
      <w:pPr>
        <w:pStyle w:val="ListParagraph"/>
        <w:numPr>
          <w:ilvl w:val="0"/>
          <w:numId w:val="2"/>
        </w:numPr>
      </w:pPr>
      <w:r>
        <w:t xml:space="preserve">Failures were logged immediately: why verification failed, what was retried, what worked</w:t>
      </w:r>
    </w:p>
    <w:p>
      <w:pPr>
        <w:pStyle w:val="ListParagraph"/>
        <w:numPr>
          <w:ilvl w:val="0"/>
          <w:numId w:val="2"/>
        </w:numPr>
      </w:pPr>
      <w:r>
        <w:t xml:space="preserve">The complete flow was delivered within two weeks and required zero emergency patches</w:t>
      </w:r>
    </w:p>
    <w:p>
      <w:pPr>
        <w:pStyle w:val="Heading1"/>
      </w:pPr>
      <w:r>
        <w:t xml:space="preserve">5. Decisions and Learnings as Organizational Memory</w:t>
      </w:r>
    </w:p>
    <w:p>
      <w:pPr>
        <w:pStyle w:val="Normal"/>
      </w:pPr>
      <w:r>
        <w:rPr>
          <w:b w:val="false"/>
          <w:bCs w:val="false"/>
        </w:rPr>
        <w:t xml:space="preserve">The Sovrynty project generated 27 decision files—one per development session, plus cross-cutting decisions. Each decision file contained:</w:t>
      </w:r>
    </w:p>
    <w:p>
      <w:pPr>
        <w:pStyle w:val="ListParagraph"/>
        <w:numPr>
          <w:ilvl w:val="0"/>
          <w:numId w:val="2"/>
        </w:numPr>
      </w:pPr>
      <w:r>
        <w:t xml:space="preserve">What was decided (the technical choice or design)</w:t>
      </w:r>
    </w:p>
    <w:p>
      <w:pPr>
        <w:pStyle w:val="ListParagraph"/>
        <w:numPr>
          <w:ilvl w:val="0"/>
          <w:numId w:val="2"/>
        </w:numPr>
      </w:pPr>
      <w:r>
        <w:t xml:space="preserve">Why (constraints, trade-offs, assumptions)</w:t>
      </w:r>
    </w:p>
    <w:p>
      <w:pPr>
        <w:pStyle w:val="ListParagraph"/>
        <w:numPr>
          <w:ilvl w:val="0"/>
          <w:numId w:val="2"/>
        </w:numPr>
      </w:pPr>
      <w:r>
        <w:t xml:space="preserve">Alternatives considered and rejected</w:t>
      </w:r>
    </w:p>
    <w:p>
      <w:pPr>
        <w:pStyle w:val="ListParagraph"/>
        <w:numPr>
          <w:ilvl w:val="0"/>
          <w:numId w:val="2"/>
        </w:numPr>
      </w:pPr>
      <w:r>
        <w:t xml:space="preserve">Impact on other systems or future work</w:t>
      </w:r>
    </w:p>
    <w:p>
      <w:pPr>
        <w:pStyle w:val="ListParagraph"/>
        <w:numPr>
          <w:ilvl w:val="0"/>
          <w:numId w:val="2"/>
        </w:numPr>
      </w:pPr>
      <w:r>
        <w:t xml:space="preserve">Keywords for indexing and retrieval</w:t>
      </w:r>
    </w:p>
    <w:p>
      <w:pPr>
        <w:pStyle w:val="Normal"/>
      </w:pPr>
      <w:r>
        <w:rPr>
          <w:b w:val="false"/>
          <w:bCs w:val="false"/>
        </w:rPr>
        <w:t xml:space="preserve">Decision files were indexed with over 100 keywords, making them searchable and linkable. The indexing meant that when a future story required a similar decision, the team could instantly find prior context.</w:t>
      </w:r>
    </w:p>
    <w:p>
      <w:pPr>
        <w:pStyle w:val="Normal"/>
      </w:pPr>
      <w:r>
        <w:rPr>
          <w:b w:val="false"/>
          <w:bCs w:val="false"/>
        </w:rPr>
        <w:t xml:space="preserve">This approach transformed knowledge from individual expertise into collective, version-controlled, searchable assets. A new AI or team member joining the project could review decision files and understand not just "what was built," but "why it was built that way."</w:t>
      </w:r>
    </w:p>
    <w:p>
      <w:pPr>
        <w:pStyle w:val="Heading1"/>
      </w:pPr>
      <w:r>
        <w:t xml:space="preserve">6. Production Summary Files and the Bug Tracker</w:t>
      </w:r>
    </w:p>
    <w:p>
      <w:pPr>
        <w:pStyle w:val="Normal"/>
      </w:pPr>
      <w:r>
        <w:rPr>
          <w:b w:val="false"/>
          <w:bCs w:val="false"/>
        </w:rPr>
        <w:t xml:space="preserve">As the system went live, the Sovrynty team discovered that operational incidents provided the highest-quality learning opportunities. Production summary files captured:</w:t>
      </w:r>
    </w:p>
    <w:p>
      <w:pPr>
        <w:pStyle w:val="Heading2"/>
      </w:pPr>
      <w:r>
        <w:t xml:space="preserve">6.1 Failures and Fixes</w:t>
      </w:r>
    </w:p>
    <w:p>
      <w:pPr>
        <w:pStyle w:val="Normal"/>
      </w:pPr>
      <w:r>
        <w:rPr>
          <w:b w:val="false"/>
          <w:bCs w:val="false"/>
        </w:rPr>
        <w:t xml:space="preserve">A file named production-instructions.md self-updated with every incident. When the system ran out of memory during a large batch operation, the fix was documented with:</w:t>
      </w:r>
    </w:p>
    <w:p>
      <w:pPr>
        <w:pStyle w:val="ListParagraph"/>
        <w:numPr>
          <w:ilvl w:val="0"/>
          <w:numId w:val="2"/>
        </w:numPr>
      </w:pPr>
      <w:r>
        <w:t xml:space="preserve">The error (OutOfMemoryError in the JVM)</w:t>
      </w:r>
    </w:p>
    <w:p>
      <w:pPr>
        <w:pStyle w:val="ListParagraph"/>
        <w:numPr>
          <w:ilvl w:val="0"/>
          <w:numId w:val="2"/>
        </w:numPr>
      </w:pPr>
      <w:r>
        <w:t xml:space="preserve">Root cause (unbounded array growth during list iteration)</w:t>
      </w:r>
    </w:p>
    <w:p>
      <w:pPr>
        <w:pStyle w:val="ListParagraph"/>
        <w:numPr>
          <w:ilvl w:val="0"/>
          <w:numId w:val="2"/>
        </w:numPr>
      </w:pPr>
      <w:r>
        <w:t xml:space="preserve">Solution (added 4GB swap space, tuned two ABI settings, set JVM heap to 1536m)</w:t>
      </w:r>
    </w:p>
    <w:p>
      <w:pPr>
        <w:pStyle w:val="ListParagraph"/>
        <w:numPr>
          <w:ilvl w:val="0"/>
          <w:numId w:val="2"/>
        </w:numPr>
      </w:pPr>
      <w:r>
        <w:t xml:space="preserve">Impact (batch operations now complete in under 10 seconds; no performance regression)</w:t>
      </w:r>
    </w:p>
    <w:p>
      <w:pPr>
        <w:pStyle w:val="Heading2"/>
      </w:pPr>
      <w:r>
        <w:t xml:space="preserve">6.2 Bug Tracking with Root Cause Analysis</w:t>
      </w:r>
    </w:p>
    <w:p>
      <w:pPr>
        <w:pStyle w:val="Normal"/>
      </w:pPr>
      <w:r>
        <w:rPr>
          <w:b w:val="false"/>
          <w:bCs w:val="false"/>
        </w:rPr>
        <w:t xml:space="preserve">The Sovrynty project tracked 11 bugs in production. For each, the team recorded:</w:t>
      </w:r>
    </w:p>
    <w:p>
      <w:pPr>
        <w:pStyle w:val="ListParagraph"/>
        <w:numPr>
          <w:ilvl w:val="0"/>
          <w:numId w:val="2"/>
        </w:numPr>
      </w:pPr>
      <w:r>
        <w:t xml:space="preserve">Symptom: what the user or system observed</w:t>
      </w:r>
    </w:p>
    <w:p>
      <w:pPr>
        <w:pStyle w:val="ListParagraph"/>
        <w:numPr>
          <w:ilvl w:val="0"/>
          <w:numId w:val="2"/>
        </w:numPr>
      </w:pPr>
      <w:r>
        <w:t xml:space="preserve">Root cause: what in the code or configuration caused it</w:t>
      </w:r>
    </w:p>
    <w:p>
      <w:pPr>
        <w:pStyle w:val="ListParagraph"/>
        <w:numPr>
          <w:ilvl w:val="0"/>
          <w:numId w:val="2"/>
        </w:numPr>
      </w:pPr>
      <w:r>
        <w:t xml:space="preserve">Resolution: code change, configuration update, or process fix</w:t>
      </w:r>
    </w:p>
    <w:p>
      <w:pPr>
        <w:pStyle w:val="ListParagraph"/>
        <w:numPr>
          <w:ilvl w:val="0"/>
          <w:numId w:val="2"/>
        </w:numPr>
      </w:pPr>
      <w:r>
        <w:t xml:space="preserve">Prevention: how the team will detect or prevent recurrence</w:t>
      </w:r>
    </w:p>
    <w:p>
      <w:pPr>
        <w:pStyle w:val="Normal"/>
      </w:pPr>
      <w:r>
        <w:rPr>
          <w:b w:val="false"/>
          <w:bCs w:val="false"/>
        </w:rPr>
        <w:t xml:space="preserve">This structured approach meant that by the end of the first month in production, the team had a knowledge base of 11 high-value lessons. Future AI and team members could query these lessons to avoid repeating mistakes.</w:t>
      </w:r>
    </w:p>
    <w:p>
      <w:pPr>
        <w:pStyle w:val="Heading1"/>
      </w:pPr>
      <w:r>
        <w:t xml:space="preserve">7. From Individual Knowledge to Universal Context</w:t>
      </w:r>
    </w:p>
    <w:p>
      <w:pPr>
        <w:pStyle w:val="Normal"/>
      </w:pPr>
      <w:r>
        <w:rPr>
          <w:b w:val="false"/>
          <w:bCs w:val="false"/>
        </w:rPr>
        <w:t xml:space="preserve">The Sovrynty project demonstrated a fundamental shift in how teams scale knowledge:</w:t>
      </w:r>
    </w:p>
    <w:p>
      <w:pPr>
        <w:pStyle w:val="Heading2"/>
      </w:pPr>
      <w:r>
        <w:t xml:space="preserve">Before: Knowledge Scattered</w:t>
      </w:r>
    </w:p>
    <w:p>
      <w:pPr>
        <w:pStyle w:val="ListParagraph"/>
        <w:numPr>
          <w:ilvl w:val="0"/>
          <w:numId w:val="2"/>
        </w:numPr>
      </w:pPr>
      <w:r>
        <w:t xml:space="preserve">Slack threads archived after 30 days</w:t>
      </w:r>
    </w:p>
    <w:p>
      <w:pPr>
        <w:pStyle w:val="ListParagraph"/>
        <w:numPr>
          <w:ilvl w:val="0"/>
          <w:numId w:val="2"/>
        </w:numPr>
      </w:pPr>
      <w:r>
        <w:t xml:space="preserve">Developer notebooks and personal notes</w:t>
      </w:r>
    </w:p>
    <w:p>
      <w:pPr>
        <w:pStyle w:val="ListParagraph"/>
        <w:numPr>
          <w:ilvl w:val="0"/>
          <w:numId w:val="2"/>
        </w:numPr>
      </w:pPr>
      <w:r>
        <w:t xml:space="preserve">Code comments describing "why" decisions</w:t>
      </w:r>
    </w:p>
    <w:p>
      <w:pPr>
        <w:pStyle w:val="ListParagraph"/>
        <w:numPr>
          <w:ilvl w:val="0"/>
          <w:numId w:val="2"/>
        </w:numPr>
      </w:pPr>
      <w:r>
        <w:t xml:space="preserve">Quality of understanding dependent on who you ask</w:t>
      </w:r>
    </w:p>
    <w:p>
      <w:pPr>
        <w:pStyle w:val="Heading2"/>
      </w:pPr>
      <w:r>
        <w:t xml:space="preserve">After: Knowledge Unified</w:t>
      </w:r>
    </w:p>
    <w:p>
      <w:pPr>
        <w:pStyle w:val="ListParagraph"/>
        <w:numPr>
          <w:ilvl w:val="0"/>
          <w:numId w:val="2"/>
        </w:numPr>
      </w:pPr>
      <w:r>
        <w:t xml:space="preserve">Structured Markdown files in Git version control</w:t>
      </w:r>
    </w:p>
    <w:p>
      <w:pPr>
        <w:pStyle w:val="ListParagraph"/>
        <w:numPr>
          <w:ilvl w:val="0"/>
          <w:numId w:val="2"/>
        </w:numPr>
      </w:pPr>
      <w:r>
        <w:t xml:space="preserve">Keyword-indexed for instant retrieval</w:t>
      </w:r>
    </w:p>
    <w:p>
      <w:pPr>
        <w:pStyle w:val="ListParagraph"/>
        <w:numPr>
          <w:ilvl w:val="0"/>
          <w:numId w:val="2"/>
        </w:numPr>
      </w:pPr>
      <w:r>
        <w:t xml:space="preserve">Searchable, linked, and cross-referenced</w:t>
      </w:r>
    </w:p>
    <w:p>
      <w:pPr>
        <w:pStyle w:val="ListParagraph"/>
        <w:numPr>
          <w:ilvl w:val="0"/>
          <w:numId w:val="2"/>
        </w:numPr>
      </w:pPr>
      <w:r>
        <w:t xml:space="preserve">New AI or team member inherits complete organizational memory in 30 seconds</w:t>
      </w:r>
    </w:p>
    <w:p>
      <w:pPr>
        <w:pStyle w:val="Normal"/>
      </w:pPr>
      <w:r>
        <w:rPr>
          <w:b w:val="false"/>
          <w:bCs w:val="false"/>
        </w:rPr>
        <w:t xml:space="preserve">This shift has profound implications for scaling AI-driven development. An AI system that can access the full decision history, architecture, and lessons learned is not just faster—it is more trustworthy. It makes decisions that align with the organization's values and constraints, not just the letter of the acceptance criteria.</w:t>
      </w:r>
    </w:p>
    <w:p>
      <w:pPr>
        <w:pStyle w:val="Heading1"/>
      </w:pPr>
      <w:r>
        <w:t xml:space="preserve">8. Best Practices and Recommendations</w:t>
      </w:r>
    </w:p>
    <w:p>
      <w:pPr>
        <w:pStyle w:val="Heading2"/>
      </w:pPr>
      <w:r>
        <w:t xml:space="preserve">8.1 For Story Definition</w:t>
      </w:r>
    </w:p>
    <w:p>
      <w:pPr>
        <w:pStyle w:val="ListParagraph"/>
        <w:numPr>
          <w:ilvl w:val="0"/>
          <w:numId w:val="2"/>
        </w:numPr>
      </w:pPr>
      <w:r>
        <w:t xml:space="preserve">Include acceptance criteria with at least three test cases: happy path, error case, and edge case</w:t>
      </w:r>
    </w:p>
    <w:p>
      <w:pPr>
        <w:pStyle w:val="ListParagraph"/>
        <w:numPr>
          <w:ilvl w:val="0"/>
          <w:numId w:val="2"/>
        </w:numPr>
      </w:pPr>
      <w:r>
        <w:t xml:space="preserve">Define dependencies explicitly; never assume a story can be completed in isolation</w:t>
      </w:r>
    </w:p>
    <w:p>
      <w:pPr>
        <w:pStyle w:val="ListParagraph"/>
        <w:numPr>
          <w:ilvl w:val="0"/>
          <w:numId w:val="2"/>
        </w:numPr>
      </w:pPr>
      <w:r>
        <w:t xml:space="preserve">Review acceptance criteria in a team ceremony before any development begins</w:t>
      </w:r>
    </w:p>
    <w:p>
      <w:pPr>
        <w:pStyle w:val="Heading2"/>
      </w:pPr>
      <w:r>
        <w:t xml:space="preserve">8.2 For Context and Memory</w:t>
      </w:r>
    </w:p>
    <w:p>
      <w:pPr>
        <w:pStyle w:val="ListParagraph"/>
        <w:numPr>
          <w:ilvl w:val="0"/>
          <w:numId w:val="2"/>
        </w:numPr>
      </w:pPr>
      <w:r>
        <w:t xml:space="preserve">Keep architectural rules and design system documentation up-to-date</w:t>
      </w:r>
    </w:p>
    <w:p>
      <w:pPr>
        <w:pStyle w:val="ListParagraph"/>
        <w:numPr>
          <w:ilvl w:val="0"/>
          <w:numId w:val="2"/>
        </w:numPr>
      </w:pPr>
      <w:r>
        <w:t xml:space="preserve">Log decisions in Markdown with keywords the moment they are made</w:t>
      </w:r>
    </w:p>
    <w:p>
      <w:pPr>
        <w:pStyle w:val="ListParagraph"/>
        <w:numPr>
          <w:ilvl w:val="0"/>
          <w:numId w:val="2"/>
        </w:numPr>
      </w:pPr>
      <w:r>
        <w:t xml:space="preserve">Index production incidents and bugs with root cause and prevention measures</w:t>
      </w:r>
    </w:p>
    <w:p>
      <w:pPr>
        <w:pStyle w:val="Heading2"/>
      </w:pPr>
      <w:r>
        <w:t xml:space="preserve">8.3 For Process</w:t>
      </w:r>
    </w:p>
    <w:p>
      <w:pPr>
        <w:pStyle w:val="ListParagraph"/>
        <w:numPr>
          <w:ilvl w:val="0"/>
          <w:numId w:val="2"/>
        </w:numPr>
      </w:pPr>
      <w:r>
        <w:t xml:space="preserve">Run open.md and closure.md ceremonies at the start and end of each epic</w:t>
      </w:r>
    </w:p>
    <w:p>
      <w:pPr>
        <w:pStyle w:val="ListParagraph"/>
        <w:numPr>
          <w:ilvl w:val="0"/>
          <w:numId w:val="2"/>
        </w:numPr>
      </w:pPr>
      <w:r>
        <w:t xml:space="preserve">Allocate 10-15% of sprint time to documentation and decision logging</w:t>
      </w:r>
    </w:p>
    <w:p>
      <w:pPr>
        <w:pStyle w:val="ListParagraph"/>
        <w:numPr>
          <w:ilvl w:val="0"/>
          <w:numId w:val="2"/>
        </w:numPr>
      </w:pPr>
      <w:r>
        <w:t xml:space="preserve">Treat the knowledge base as a first-class software artifact: review, merge, and version it like code</w:t>
      </w:r>
    </w:p>
    <w:p>
      <w:pPr>
        <w:pStyle w:val="Heading1"/>
      </w:pPr>
      <w:r>
        <w:t xml:space="preserve">9. Conclusion</w:t>
      </w:r>
    </w:p>
    <w:p>
      <w:pPr>
        <w:pStyle w:val="Normal"/>
      </w:pPr>
      <w:r>
        <w:rPr>
          <w:b w:val="false"/>
          <w:bCs w:val="false"/>
        </w:rPr>
        <w:t xml:space="preserve">The Sovrynty case study shows that AI-driven development at scale is not about replacing developers with machines. It's about elevating both humans and AI by giving them shared, explicit, searchable context.</w:t>
      </w:r>
    </w:p>
    <w:p>
      <w:pPr>
        <w:pStyle w:val="Normal"/>
      </w:pPr>
      <w:r>
        <w:rPr>
          <w:b w:val="false"/>
          <w:bCs w:val="false"/>
        </w:rPr>
        <w:t xml:space="preserve">By defining acceptance criteria so granular that they leave no room for interpretation, by documenting architecture and design rules, and by logging decisions and learnings in real time, teams create a virtuous cycle:</w:t>
      </w:r>
    </w:p>
    <w:p>
      <w:pPr>
        <w:pStyle w:val="ListParagraph"/>
        <w:numPr>
          <w:ilvl w:val="0"/>
          <w:numId w:val="3"/>
        </w:numPr>
      </w:pPr>
      <w:r>
        <w:t xml:space="preserve">Clearer acceptance criteria lead to faster, more reliable development</w:t>
      </w:r>
    </w:p>
    <w:p>
      <w:pPr>
        <w:pStyle w:val="ListParagraph"/>
        <w:numPr>
          <w:ilvl w:val="0"/>
          <w:numId w:val="3"/>
        </w:numPr>
      </w:pPr>
      <w:r>
        <w:t xml:space="preserve">Documented decisions reduce re-work and improve consistency</w:t>
      </w:r>
    </w:p>
    <w:p>
      <w:pPr>
        <w:pStyle w:val="ListParagraph"/>
        <w:numPr>
          <w:ilvl w:val="0"/>
          <w:numId w:val="3"/>
        </w:numPr>
      </w:pPr>
      <w:r>
        <w:t xml:space="preserve">Organizational memory enables confident, aligned decisions by new team members and AI systems</w:t>
      </w:r>
    </w:p>
    <w:p>
      <w:pPr>
        <w:pStyle w:val="ListParagraph"/>
        <w:numPr>
          <w:ilvl w:val="0"/>
          <w:numId w:val="3"/>
        </w:numPr>
      </w:pPr>
      <w:r>
        <w:t xml:space="preserve">Faster, more reliable delivery builds confidence in the process and the team</w:t>
      </w:r>
    </w:p>
    <w:p>
      <w:pPr>
        <w:pStyle w:val="Normal"/>
      </w:pPr>
      <w:r>
        <w:rPr>
          <w:b w:val="false"/>
          <w:bCs w:val="false"/>
        </w:rPr>
        <w:t xml:space="preserve">This approach works in waterfall phases, agile sprints, and hybrid models. It scales from small teams to large organizations. Most importantly, it transforms software delivery from a function of individual developer talent into a predictable, trustworthy, and continuously improving organizational capability.</w:t>
      </w:r>
    </w:p>
    <w:p>
      <w:r>
        <w:br w:type="page"/>
      </w:r>
    </w:p>
    <w:p>
      <w:pPr>
        <w:pStyle w:val="Heading1"/>
      </w:pPr>
      <w:r>
        <w:t xml:space="preserve">Exhibits</w:t>
      </w:r>
    </w:p>
    <w:p>
      <w:pPr>
        <w:pStyle w:val="Heading2"/>
      </w:pPr>
      <w:r>
        <w:t xml:space="preserve">Exhibit 1: Story Template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4680"/>
            <w:tcBorders>
              <w:top w:val="single" w:color="CCCCCC" w:sz="6"/>
              <w:left w:val="single" w:color="CCCCCC" w:sz="6"/>
              <w:bottom w:val="single" w:color="CCCCCC" w:sz="6"/>
              <w:right w:val="single" w:color="CCCCCC" w:sz="6"/>
            </w:tcBorders>
            <w:shd w:fill="E0F2FE" w:val="clear"/>
            <w:tcMar>
              <w:top w:type="dxa" w:w="80"/>
              <w:left w:type="dxa" w:w="120"/>
              <w:bottom w:type="dxa" w:w="80"/>
              <w:right w:type="dxa" w:w="120"/>
            </w:tcMar>
            <w:vAlign w:val="center"/>
          </w:tcPr>
          <w:p>
            <w:r>
              <w:rPr>
                <w:b/>
                <w:bCs/>
              </w:rPr>
              <w:t xml:space="preserve">Field</w:t>
            </w:r>
          </w:p>
        </w:tc>
        <w:tc>
          <w:tcPr>
            <w:tcW w:type="dxa" w:w="4680"/>
            <w:tcBorders>
              <w:top w:val="single" w:color="CCCCCC" w:sz="6"/>
              <w:left w:val="single" w:color="CCCCCC" w:sz="6"/>
              <w:bottom w:val="single" w:color="CCCCCC" w:sz="6"/>
              <w:right w:val="single" w:color="CCCCCC" w:sz="6"/>
            </w:tcBorders>
            <w:shd w:fill="E0F2FE" w:val="clear"/>
            <w:tcMar>
              <w:top w:type="dxa" w:w="80"/>
              <w:left w:type="dxa" w:w="120"/>
              <w:bottom w:type="dxa" w:w="80"/>
              <w:right w:type="dxa" w:w="120"/>
            </w:tcMar>
            <w:vAlign w:val="center"/>
          </w:tcPr>
          <w:p>
            <w:r>
              <w:rPr>
                <w:b/>
                <w:bCs/>
              </w:rPr>
              <w:t xml:space="preserve">Description</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Story ID</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e.g., KYCU-001</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Title</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User-facing description of the work</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Description</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Why this story matters; business context</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Acceptance Criteria</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Step-by-step requirements and test cases</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Status</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Not Started / In Progress / Complete</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Dependencies</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List of stories that must complete first</w:t>
            </w:r>
          </w:p>
        </w:tc>
      </w:tr>
      <w:tr>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Notes</w:t>
            </w:r>
          </w:p>
        </w:tc>
        <w:tc>
          <w:tcPr>
            <w:tcW w:type="dxa" w:w="468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Edge cases, gotchas, implementation hints</w:t>
            </w:r>
          </w:p>
        </w:tc>
      </w:tr>
    </w:tbl>
    <w:p/>
    <w:p>
      <w:pPr>
        <w:pStyle w:val="Heading2"/>
      </w:pPr>
      <w:r>
        <w:t xml:space="preserve">Exhibit 2: Decision Log Entry</w:t>
      </w:r>
    </w:p>
    <w:p>
      <w:pPr>
        <w:pStyle w:val="Normal"/>
      </w:pPr>
      <w:r>
        <w:rPr>
          <w:b/>
          <w:bCs/>
        </w:rPr>
        <w:t xml:space="preserve">Date: 2026-02-15</w:t>
      </w:r>
    </w:p>
    <w:p>
      <w:pPr>
        <w:pStyle w:val="Normal"/>
      </w:pPr>
      <w:r>
        <w:rPr>
          <w:b/>
          <w:bCs/>
        </w:rPr>
        <w:t xml:space="preserve">Decision: Use JWT with HTTP-only cookies for session management</w:t>
      </w:r>
    </w:p>
    <w:p>
      <w:pPr>
        <w:pStyle w:val="Normal"/>
      </w:pPr>
      <w:r>
        <w:rPr>
          <w:b w:val="false"/>
          <w:bCs w:val="false"/>
        </w:rPr>
        <w:t xml:space="preserve">Context: Two authentication flows: web UI and mobile API. Needed cross-origin support for SPA.</w:t>
      </w:r>
    </w:p>
    <w:p>
      <w:pPr>
        <w:pStyle w:val="Normal"/>
      </w:pPr>
      <w:r>
        <w:rPr>
          <w:b w:val="false"/>
          <w:bCs w:val="false"/>
        </w:rPr>
        <w:t xml:space="preserve">Alternatives: (1) Server-side sessions with localStorage – breaks CSRF protection. (2) Custom OAuth provider – 3x complexity, delayed delivery.</w:t>
      </w:r>
    </w:p>
    <w:p>
      <w:pPr>
        <w:pStyle w:val="Normal"/>
      </w:pPr>
      <w:r>
        <w:rPr>
          <w:b w:val="false"/>
          <w:bCs w:val="false"/>
        </w:rPr>
        <w:t xml:space="preserve">Resolution: JWTs in cookies with SameSite=Strict. Mobile uses refresh token flow.</w:t>
      </w:r>
    </w:p>
    <w:p>
      <w:pPr>
        <w:pStyle w:val="Normal"/>
      </w:pPr>
      <w:r>
        <w:rPr>
          <w:b w:val="false"/>
          <w:bCs w:val="false"/>
        </w:rPr>
        <w:t xml:space="preserve">Keywords: auth, jwt, cookies, security, mobile, cross-origin</w:t>
      </w:r>
    </w:p>
    <w:p/>
    <w:p>
      <w:pPr>
        <w:pStyle w:val="Heading2"/>
      </w:pPr>
      <w:r>
        <w:t xml:space="preserve">Exhibit 3: Production Incident Log</w:t>
      </w:r>
    </w:p>
    <w:p>
      <w:pPr>
        <w:pStyle w:val="Normal"/>
      </w:pPr>
      <w:r>
        <w:rPr>
          <w:b/>
          <w:bCs/>
        </w:rPr>
        <w:t xml:space="preserve">Incident: Batch KYC verification times out after 500 records</w:t>
      </w:r>
    </w:p>
    <w:p>
      <w:pPr>
        <w:pStyle w:val="Normal"/>
      </w:pPr>
      <w:r>
        <w:rPr>
          <w:b w:val="false"/>
          <w:bCs w:val="false"/>
        </w:rPr>
        <w:t xml:space="preserve">Root Cause: Unbounded list growth in verification loop; JVM heap exhaustion.</w:t>
      </w:r>
    </w:p>
    <w:p>
      <w:pPr>
        <w:pStyle w:val="Normal"/>
      </w:pPr>
      <w:r>
        <w:rPr>
          <w:b w:val="false"/>
          <w:bCs w:val="false"/>
        </w:rPr>
        <w:t xml:space="preserve">Solution: (1) Increased swap to 4GB. (2) Set JVM heap to -Xmx1536m. (3) Modified loop to process in chunks of 100.</w:t>
      </w:r>
    </w:p>
    <w:p>
      <w:pPr>
        <w:pStyle w:val="Normal"/>
      </w:pPr>
      <w:r>
        <w:rPr>
          <w:b w:val="false"/>
          <w:bCs w:val="false"/>
        </w:rPr>
        <w:t xml:space="preserve">Verification: Batch of 10,000 records now processes in 8 seconds with no memory warnings.</w:t>
      </w:r>
    </w:p>
    <w:p>
      <w:pPr>
        <w:pStyle w:val="Normal"/>
      </w:pPr>
      <w:r>
        <w:rPr>
          <w:b w:val="false"/>
          <w:bCs w:val="false"/>
        </w:rPr>
        <w:t xml:space="preserve">Prevention: Add automated memory profiling to CI/CD for batch operations.</w:t>
      </w:r>
    </w:p>
    <w:p/>
    <w:p>
      <w:pPr>
        <w:pStyle w:val="Heading2"/>
      </w:pPr>
      <w:r>
        <w:t xml:space="preserve">Exhibit 4: Epic Closure Summary</w:t>
      </w:r>
    </w:p>
    <w:p>
      <w:pPr>
        <w:pStyle w:val="Normal"/>
      </w:pPr>
      <w:r>
        <w:rPr>
          <w:b/>
          <w:bCs/>
        </w:rPr>
        <w:t xml:space="preserve">Epic: KYC Verification Flow (KYCU)</w:t>
      </w:r>
    </w:p>
    <w:p>
      <w:pPr>
        <w:pStyle w:val="Normal"/>
      </w:pPr>
      <w:r>
        <w:rPr>
          <w:b w:val="false"/>
          <w:bCs w:val="false"/>
        </w:rPr>
        <w:t xml:space="preserve">Scope: 6 stories, 3 sprints, 14 days of development</w:t>
      </w:r>
    </w:p>
    <w:p>
      <w:pPr>
        <w:pStyle w:val="Normal"/>
      </w:pPr>
      <w:r>
        <w:rPr>
          <w:b w:val="false"/>
          <w:bCs w:val="false"/>
        </w:rPr>
        <w:t xml:space="preserve">Delivered: User data capture, document upload, automated verification, human review, approval/rejection, email notification</w:t>
      </w:r>
    </w:p>
    <w:p>
      <w:pPr>
        <w:pStyle w:val="Normal"/>
      </w:pPr>
      <w:r>
        <w:rPr>
          <w:b w:val="false"/>
          <w:bCs w:val="false"/>
        </w:rPr>
        <w:t xml:space="preserve">Scope Changes: None. All stories shipped as planned.</w:t>
      </w:r>
    </w:p>
    <w:p>
      <w:pPr>
        <w:pStyle w:val="Normal"/>
      </w:pPr>
      <w:r>
        <w:rPr>
          <w:b w:val="false"/>
          <w:bCs w:val="false"/>
        </w:rPr>
        <w:t xml:space="preserve">Key Learnings: (1) Granular acceptance criteria prevented rework. (2) Explicit dependencies allowed parallel work in stories 4 and 5. (3) Production incident with batch operations revealed optimization opportunity.</w:t>
      </w:r>
    </w:p>
    <w:p/>
    <w:p>
      <w:pPr>
        <w:pStyle w:val="Heading2"/>
      </w:pPr>
      <w:r>
        <w:t xml:space="preserve">Exhibit 5: Organizational Memory Index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4680"/>
      </w:tblGrid>
      <w:tr>
        <w:tc>
          <w:tcPr>
            <w:tcW w:type="dxa" w:w="3120"/>
            <w:tcBorders>
              <w:top w:val="single" w:color="CCCCCC" w:sz="6"/>
              <w:left w:val="single" w:color="CCCCCC" w:sz="6"/>
              <w:bottom w:val="single" w:color="CCCCCC" w:sz="6"/>
              <w:right w:val="single" w:color="CCCCCC" w:sz="6"/>
            </w:tcBorders>
            <w:shd w:fill="E0F2FE" w:val="clear"/>
            <w:tcMar>
              <w:top w:type="dxa" w:w="80"/>
              <w:left w:type="dxa" w:w="120"/>
              <w:bottom w:type="dxa" w:w="80"/>
              <w:right w:type="dxa" w:w="120"/>
            </w:tcMar>
            <w:vAlign w:val="center"/>
          </w:tcPr>
          <w:p>
            <w:r>
              <w:rPr>
                <w:b/>
                <w:bCs/>
              </w:rPr>
              <w:t xml:space="preserve">Category</w:t>
            </w:r>
          </w:p>
        </w:tc>
        <w:tc>
          <w:tcPr>
            <w:tcW w:type="dxa" w:w="3120"/>
            <w:tcBorders>
              <w:top w:val="single" w:color="CCCCCC" w:sz="6"/>
              <w:left w:val="single" w:color="CCCCCC" w:sz="6"/>
              <w:bottom w:val="single" w:color="CCCCCC" w:sz="6"/>
              <w:right w:val="single" w:color="CCCCCC" w:sz="6"/>
            </w:tcBorders>
            <w:shd w:fill="E0F2FE" w:val="clear"/>
            <w:tcMar>
              <w:top w:type="dxa" w:w="80"/>
              <w:left w:type="dxa" w:w="120"/>
              <w:bottom w:type="dxa" w:w="80"/>
              <w:right w:type="dxa" w:w="120"/>
            </w:tcMar>
            <w:vAlign w:val="center"/>
          </w:tcPr>
          <w:p>
            <w:r>
              <w:rPr>
                <w:b/>
                <w:bCs/>
              </w:rPr>
              <w:t xml:space="preserve">Count</w:t>
            </w:r>
          </w:p>
        </w:tc>
        <w:tc>
          <w:tcPr>
            <w:tcW w:type="dxa" w:w="3120"/>
            <w:tcBorders>
              <w:top w:val="single" w:color="CCCCCC" w:sz="6"/>
              <w:left w:val="single" w:color="CCCCCC" w:sz="6"/>
              <w:bottom w:val="single" w:color="CCCCCC" w:sz="6"/>
              <w:right w:val="single" w:color="CCCCCC" w:sz="6"/>
            </w:tcBorders>
            <w:shd w:fill="E0F2FE" w:val="clear"/>
            <w:tcMar>
              <w:top w:type="dxa" w:w="80"/>
              <w:left w:type="dxa" w:w="120"/>
              <w:bottom w:type="dxa" w:w="80"/>
              <w:right w:type="dxa" w:w="120"/>
            </w:tcMar>
            <w:vAlign w:val="center"/>
          </w:tcPr>
          <w:p>
            <w:r>
              <w:rPr>
                <w:b/>
                <w:bCs/>
              </w:rPr>
              <w:t xml:space="preserve">Example Topics</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Decision Files</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27</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Auth, payment integration, database schema</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Bug Analyses</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11</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Memory leaks, race conditions, configuration issues</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Production Incidents</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5</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Batch processing, notification queue, load testing</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Architectural Rules</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12</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Coding standards, API design, database conventions</w:t>
            </w:r>
          </w:p>
        </w:tc>
      </w:tr>
      <w:tr>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Design System Components</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40+</w:t>
            </w:r>
          </w:p>
        </w:tc>
        <w:tc>
          <w:tcPr>
            <w:tcW w:type="dxa" w:w="3120"/>
            <w:tcBorders>
              <w:top w:val="single" w:color="CCCCCC" w:sz="6"/>
              <w:left w:val="single" w:color="CCCCCC" w:sz="6"/>
              <w:bottom w:val="single" w:color="CCCCCC" w:sz="6"/>
              <w:right w:val="single" w:color="CCCCCC" w:sz="6"/>
            </w:tcBorders>
            <w:tcMar>
              <w:top w:type="dxa" w:w="80"/>
              <w:left w:type="dxa" w:w="120"/>
              <w:bottom w:type="dxa" w:w="80"/>
              <w:right w:type="dxa" w:w="120"/>
            </w:tcMar>
            <w:vAlign w:val="center"/>
          </w:tcPr>
          <w:p>
            <w:r>
              <w:rPr>
                <w:b w:val="false"/>
                <w:bCs w:val="false"/>
              </w:rPr>
              <w:t xml:space="preserve">Buttons, forms, tables, charts, dialogs</w:t>
            </w:r>
          </w:p>
        </w:tc>
      </w:tr>
    </w:tbl>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t xml:space="preserve">Page </w:t>
    </w: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Normal"/>
      <w:jc w:val="right"/>
    </w:pPr>
    <w:r>
      <w:t xml:space="preserve">Development Execution and Release Management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475569"/>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Normal">
    <w:name w:val="Normal"/>
    <w:basedOn w:val="Normal"/>
    <w:next w:val="Normal"/>
    <w:qFormat/>
    <w:pPr>
      <w:spacing w:line="360" w:lineRule="auto"/>
    </w:pPr>
    <w:rPr>
      <w:rFonts w:ascii="Calibri" w:cs="Calibri" w:eastAsia="Calibri" w:hAnsi="Calibri"/>
      <w:color w:val="475569"/>
      <w:sz w:val="22"/>
      <w:szCs w:val="22"/>
    </w:rPr>
  </w:style>
  <w:style w:type="paragraph" w:styleId="Heading1">
    <w:name w:val="Heading 1"/>
    <w:basedOn w:val="Normal"/>
    <w:next w:val="Normal"/>
    <w:qFormat/>
    <w:pPr>
      <w:spacing w:before="240" w:after="120"/>
      <w:outlineLvl w:val="0"/>
    </w:pPr>
    <w:rPr>
      <w:rFonts w:ascii="Calibri" w:cs="Calibri" w:eastAsia="Calibri" w:hAnsi="Calibri"/>
      <w:b/>
      <w:bCs/>
      <w:color w:val="0F1B2D"/>
      <w:sz w:val="36"/>
      <w:szCs w:val="36"/>
    </w:rPr>
  </w:style>
  <w:style w:type="paragraph" w:styleId="Heading2">
    <w:name w:val="Heading 2"/>
    <w:basedOn w:val="Normal"/>
    <w:next w:val="Normal"/>
    <w:qFormat/>
    <w:pPr>
      <w:spacing w:before="200" w:after="100"/>
      <w:outlineLvl w:val="1"/>
    </w:pPr>
    <w:rPr>
      <w:rFonts w:ascii="Calibri" w:cs="Calibri" w:eastAsia="Calibri" w:hAnsi="Calibri"/>
      <w:b/>
      <w:bCs/>
      <w:color w:val="0891B2"/>
      <w:sz w:val="28"/>
      <w:szCs w:val="28"/>
    </w:rPr>
  </w:style>
  <w:style w:type="paragraph" w:styleId="Heading3">
    <w:name w:val="Heading 3"/>
    <w:basedOn w:val="Normal"/>
    <w:next w:val="Normal"/>
    <w:qFormat/>
    <w:pPr>
      <w:spacing w:before="160" w:after="80"/>
      <w:outlineLvl w:val="2"/>
    </w:pPr>
    <w:rPr>
      <w:rFonts w:ascii="Calibri" w:cs="Calibri" w:eastAsia="Calibri" w:hAnsi="Calibri"/>
      <w:b/>
      <w:bCs/>
      <w:color w:val="0F1B2D"/>
      <w:sz w:val="24"/>
      <w:szCs w:val="24"/>
    </w:rPr>
  </w:style>
  <w:style w:type="paragraph" w:styleId="Title">
    <w:name w:val="Title"/>
    <w:basedOn w:val="Normal"/>
    <w:next w:val="Subtitle"/>
    <w:qFormat/>
    <w:pPr>
      <w:spacing w:after="120"/>
      <w:jc w:val="center"/>
    </w:pPr>
    <w:rPr>
      <w:rFonts w:ascii="Calibri" w:cs="Calibri" w:eastAsia="Calibri" w:hAnsi="Calibri"/>
      <w:b/>
      <w:bCs/>
      <w:color w:val="0F1B2D"/>
      <w:sz w:val="56"/>
      <w:szCs w:val="56"/>
    </w:rPr>
  </w:style>
  <w:style w:type="paragraph" w:styleId="Subtitle">
    <w:name w:val="Subtitle"/>
    <w:basedOn w:val="Normal"/>
    <w:next w:val="CoverMeta"/>
    <w:qFormat/>
    <w:pPr>
      <w:spacing w:after="240"/>
      <w:jc w:val="center"/>
    </w:pPr>
    <w:rPr>
      <w:rFonts w:ascii="Calibri" w:cs="Calibri" w:eastAsia="Calibri" w:hAnsi="Calibri"/>
      <w:color w:val="0891B2"/>
      <w:sz w:val="26"/>
      <w:szCs w:val="26"/>
    </w:rPr>
  </w:style>
  <w:style w:type="paragraph" w:styleId="CoverMeta">
    <w:name w:val="CoverMeta"/>
    <w:basedOn w:val="Normal"/>
    <w:next w:val="Normal"/>
    <w:qFormat/>
    <w:pPr>
      <w:spacing w:line="240" w:lineRule="auto"/>
      <w:jc w:val="center"/>
    </w:pPr>
    <w:rPr>
      <w:rFonts w:ascii="Calibri" w:cs="Calibri" w:eastAsia="Calibri" w:hAnsi="Calibri"/>
      <w:color w:val="475569"/>
      <w:sz w:val="20"/>
      <w:szCs w:val="20"/>
    </w:rPr>
  </w:style>
  <w:style w:type="paragraph" w:styleId="Caption">
    <w:name w:val="Caption"/>
    <w:basedOn w:val="Normal"/>
    <w:next w:val="Normal"/>
    <w:qFormat/>
    <w:pPr>
      <w:spacing w:before="80" w:after="80"/>
    </w:pPr>
    <w:rPr>
      <w:rFonts w:ascii="Calibri" w:cs="Calibri" w:eastAsia="Calibri" w:hAnsi="Calibri"/>
      <w:color w:val="475569"/>
      <w:sz w:val="18"/>
      <w:szCs w:val="18"/>
    </w:rPr>
  </w:style>
  <w:style w:type="paragraph" w:styleId="Divider">
    <w:name w:val="Divider"/>
    <w:basedOn w:val="Normal"/>
    <w:next w:val="Normal"/>
    <w:qFormat/>
    <w:pPr>
      <w:spacing w:before="120" w:after="120"/>
      <w:jc w:val="center"/>
    </w:pPr>
    <w:rPr>
      <w:rFonts w:ascii="Calibri" w:cs="Calibri" w:eastAsia="Calibri" w:hAnsi="Calibri"/>
      <w:color w:val="0891B2"/>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2026-03-26T10:08:37.282Z</dcterms:created>
  <dcterms:modified xsi:type="dcterms:W3CDTF">2026-03-26T10:08:37.282Z</dcterms:modified>
</cp:coreProperties>
</file>

<file path=docProps/custom.xml><?xml version="1.0" encoding="utf-8"?>
<Properties xmlns="http://schemas.openxmlformats.org/officeDocument/2006/custom-properties" xmlns:vt="http://schemas.openxmlformats.org/officeDocument/2006/docPropsVTypes"/>
</file>